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6" w:lineRule="auto"/>
        <w:jc w:val="center"/>
        <w:outlineLvl w:val="0"/>
        <w:rPr>
          <w:rFonts w:hint="eastAsia" w:asciiTheme="majorEastAsia" w:hAnsiTheme="majorEastAsia" w:eastAsiaTheme="majorEastAsia" w:cstheme="majorEastAsia"/>
          <w:b/>
          <w:bCs/>
          <w:kern w:val="44"/>
          <w:sz w:val="32"/>
          <w:szCs w:val="32"/>
        </w:rPr>
      </w:pPr>
      <w:r>
        <w:rPr>
          <w:rFonts w:hint="eastAsia" w:asciiTheme="majorEastAsia" w:hAnsiTheme="majorEastAsia" w:eastAsiaTheme="majorEastAsia" w:cstheme="majorEastAsia"/>
          <w:b/>
          <w:bCs/>
          <w:sz w:val="32"/>
          <w:szCs w:val="32"/>
        </w:rPr>
        <w:t>大邑县人民医院</w:t>
      </w:r>
      <w:r>
        <w:rPr>
          <w:rFonts w:hint="eastAsia" w:asciiTheme="majorEastAsia" w:hAnsiTheme="majorEastAsia" w:eastAsiaTheme="majorEastAsia" w:cstheme="majorEastAsia"/>
          <w:b/>
          <w:bCs/>
          <w:sz w:val="32"/>
          <w:szCs w:val="32"/>
          <w:lang w:eastAsia="zh-CN"/>
        </w:rPr>
        <w:t>“除四害”</w:t>
      </w:r>
      <w:r>
        <w:rPr>
          <w:rFonts w:hint="eastAsia" w:asciiTheme="majorEastAsia" w:hAnsiTheme="majorEastAsia" w:eastAsiaTheme="majorEastAsia" w:cstheme="majorEastAsia"/>
          <w:b/>
          <w:bCs/>
          <w:kern w:val="44"/>
          <w:sz w:val="32"/>
          <w:szCs w:val="32"/>
        </w:rPr>
        <w:t>服务内容及要求</w:t>
      </w:r>
    </w:p>
    <w:p>
      <w:pPr>
        <w:keepNext/>
        <w:keepLines/>
        <w:spacing w:before="340" w:after="330" w:line="576" w:lineRule="auto"/>
        <w:jc w:val="both"/>
        <w:outlineLvl w:val="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 项目情况</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1.项目名称：大邑县人民医院</w:t>
      </w:r>
      <w:r>
        <w:rPr>
          <w:rFonts w:hint="eastAsia" w:cs="宋体" w:asciiTheme="minorEastAsia" w:hAnsiTheme="minorEastAsia" w:eastAsiaTheme="minorEastAsia"/>
          <w:szCs w:val="21"/>
          <w:lang w:eastAsia="zh-CN"/>
        </w:rPr>
        <w:t>“除四害”服务</w:t>
      </w:r>
      <w:r>
        <w:rPr>
          <w:rFonts w:hint="eastAsia" w:cs="宋体" w:asciiTheme="minorEastAsia" w:hAnsiTheme="minorEastAsia" w:eastAsiaTheme="minorEastAsia"/>
          <w:color w:val="FF0000"/>
          <w:szCs w:val="21"/>
        </w:rPr>
        <w:t xml:space="preserve">  </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2.服务时限：</w:t>
      </w:r>
      <w:r>
        <w:rPr>
          <w:rFonts w:hint="eastAsia" w:cs="宋体" w:asciiTheme="minorEastAsia" w:hAnsiTheme="minorEastAsia" w:eastAsiaTheme="minorEastAsia"/>
          <w:szCs w:val="21"/>
          <w:lang w:eastAsia="zh-CN"/>
        </w:rPr>
        <w:t>一</w:t>
      </w:r>
      <w:r>
        <w:rPr>
          <w:rFonts w:hint="eastAsia" w:cs="宋体" w:asciiTheme="minorEastAsia" w:hAnsiTheme="minorEastAsia" w:eastAsiaTheme="minorEastAsia"/>
          <w:szCs w:val="21"/>
        </w:rPr>
        <w:t>年</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3.实施地点：成都市大邑县</w:t>
      </w:r>
      <w:r>
        <w:rPr>
          <w:rFonts w:hint="eastAsia" w:cs="宋体" w:asciiTheme="minorEastAsia" w:hAnsiTheme="minorEastAsia" w:eastAsiaTheme="minorEastAsia"/>
          <w:szCs w:val="21"/>
          <w:lang w:eastAsia="zh-CN"/>
        </w:rPr>
        <w:t>人民医院</w:t>
      </w:r>
      <w:r>
        <w:rPr>
          <w:rFonts w:hint="eastAsia" w:cs="宋体" w:asciiTheme="minorEastAsia" w:hAnsiTheme="minorEastAsia" w:eastAsiaTheme="minorEastAsia"/>
          <w:szCs w:val="21"/>
        </w:rPr>
        <w:t xml:space="preserve">        </w:t>
      </w:r>
    </w:p>
    <w:p>
      <w:pPr>
        <w:pStyle w:val="9"/>
        <w:spacing w:line="384" w:lineRule="auto"/>
        <w:ind w:firstLine="420" w:firstLineChars="200"/>
        <w:rPr>
          <w:rFonts w:hint="default" w:cs="宋体" w:asciiTheme="minorEastAsia" w:hAnsiTheme="minorEastAsia"/>
          <w:b/>
          <w:color w:val="000000"/>
          <w:sz w:val="21"/>
          <w:szCs w:val="21"/>
        </w:rPr>
      </w:pPr>
      <w:r>
        <w:rPr>
          <w:rFonts w:cs="宋体" w:asciiTheme="minorEastAsia" w:hAnsiTheme="minorEastAsia"/>
          <w:sz w:val="21"/>
          <w:szCs w:val="21"/>
        </w:rPr>
        <w:t>4.</w:t>
      </w:r>
      <w:r>
        <w:rPr>
          <w:rFonts w:ascii="宋体" w:hAnsi="宋体" w:cs="宋体"/>
          <w:sz w:val="24"/>
          <w:szCs w:val="24"/>
        </w:rPr>
        <w:t xml:space="preserve"> </w:t>
      </w:r>
      <w:r>
        <w:rPr>
          <w:rFonts w:cs="宋体" w:asciiTheme="minorEastAsia" w:hAnsiTheme="minorEastAsia"/>
          <w:sz w:val="21"/>
          <w:szCs w:val="21"/>
        </w:rPr>
        <w:t>项目概况：医院总占地52亩，消杀区域包含25个一级诊疗科目，59个二级专业,9个医技科室,20个职能科室,14个住院病区，发热门诊、院内食堂、行政楼、绿化区域、垃圾房、污水处理站。</w:t>
      </w:r>
    </w:p>
    <w:p>
      <w:pPr>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Cs/>
          <w:color w:val="000000"/>
          <w:kern w:val="0"/>
          <w:szCs w:val="21"/>
        </w:rPr>
        <w:t>5.服务</w:t>
      </w:r>
      <w:r>
        <w:rPr>
          <w:rFonts w:hint="eastAsia" w:cs="宋体" w:asciiTheme="minorEastAsia" w:hAnsiTheme="minorEastAsia" w:eastAsiaTheme="minorEastAsia"/>
          <w:bCs/>
          <w:color w:val="000000"/>
          <w:kern w:val="0"/>
          <w:szCs w:val="21"/>
          <w:lang w:eastAsia="zh-CN"/>
        </w:rPr>
        <w:t>内容</w:t>
      </w:r>
      <w:r>
        <w:rPr>
          <w:rFonts w:hint="eastAsia" w:cs="宋体" w:asciiTheme="minorEastAsia" w:hAnsiTheme="minorEastAsia" w:eastAsiaTheme="minorEastAsia"/>
          <w:bCs/>
          <w:color w:val="000000"/>
          <w:kern w:val="0"/>
          <w:szCs w:val="21"/>
        </w:rPr>
        <w:t>：灭鼠每月2次；灭蟑螂每月2次；蚊蝇消杀每月2次，以及公共卫生检查时的临时性维保服务，出现虫害高发频率时的应急服务。</w:t>
      </w:r>
    </w:p>
    <w:p>
      <w:pPr>
        <w:spacing w:line="360" w:lineRule="auto"/>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w:t>
      </w:r>
      <w:r>
        <w:rPr>
          <w:rFonts w:hint="eastAsia" w:cs="宋体" w:asciiTheme="minorEastAsia" w:hAnsiTheme="minorEastAsia" w:eastAsiaTheme="minorEastAsia"/>
          <w:b/>
          <w:color w:val="000000"/>
          <w:kern w:val="0"/>
          <w:szCs w:val="21"/>
          <w:lang w:eastAsia="zh-CN"/>
        </w:rPr>
        <w:t>服务</w:t>
      </w:r>
      <w:r>
        <w:rPr>
          <w:rFonts w:hint="eastAsia" w:cs="宋体" w:asciiTheme="minorEastAsia" w:hAnsiTheme="minorEastAsia" w:eastAsiaTheme="minorEastAsia"/>
          <w:b/>
          <w:color w:val="000000"/>
          <w:kern w:val="0"/>
          <w:szCs w:val="21"/>
        </w:rPr>
        <w:t>要求</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1.使用各类消杀消毒药品、器具的采购，使用应符合当地爱卫会的相关要求规定，老鼠、蟑螂、蚊蝇的密度控制要求达到【全爱卫发（1997）第5号】标准，并出具消杀报告。</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2.供应商消杀服务所使用的灭鼠、灭蚊蝇、灭蟑螂药物及提供给采购人的消杀药品，应是经过国家有关部门批准的，农药生产许可证、农药登记证、安全技术说明书、针对此项目的药品质量保证书资料齐全。</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3.供应商消杀工作人员必须具有《有害生物防制员》职业资格证书四级及以上，人员不低于5名。且供应商与其工作人员建立合法用工关系，提供社保缴纳证明。</w:t>
      </w:r>
    </w:p>
    <w:p>
      <w:pPr>
        <w:rPr>
          <w:rFonts w:cs="宋体" w:asciiTheme="minorEastAsia" w:hAnsiTheme="minorEastAsia" w:eastAsiaTheme="minorEastAsia"/>
          <w:b/>
          <w:color w:val="000000"/>
          <w:kern w:val="0"/>
          <w:szCs w:val="21"/>
        </w:rPr>
      </w:pPr>
    </w:p>
    <w:p>
      <w:pP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三、主要物资清单及详细技术参数（实质性要求）</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主要消杀药品：</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1、溴鼠灵灭鼠毒饵，含量：溴鼠灵0.005%，剂型：毒饵。</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2、四氟醚菊酯复配剂，含量大于等于3%，剂型：乳油或水乳剂。</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3、高效氯氟氰菊酯，含量：大于等于10%，剂型：可湿性粉剂。</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4、氟虫腈，含量：大于等于0.05%剂型：颗粒剂。</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主要消杀器械：</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1、防水全天候毒饵站（带锁）；</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2、捕鼠笼/单开门/双开门；</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3、超声波驱鼠器、专用粘鼠板等；</w:t>
      </w:r>
    </w:p>
    <w:p>
      <w:pPr>
        <w:rPr>
          <w:rFonts w:asciiTheme="minorEastAsia" w:hAnsiTheme="minorEastAsia" w:eastAsiaTheme="minorEastAsia"/>
          <w:b/>
          <w:bCs/>
          <w:szCs w:val="21"/>
        </w:rPr>
      </w:pPr>
    </w:p>
    <w:p>
      <w:pPr>
        <w:pStyle w:val="9"/>
        <w:spacing w:line="384" w:lineRule="auto"/>
        <w:rPr>
          <w:rFonts w:hint="default" w:cs="宋体" w:asciiTheme="minorEastAsia" w:hAnsiTheme="minorEastAsia"/>
          <w:b/>
          <w:bCs/>
          <w:kern w:val="2"/>
          <w:sz w:val="21"/>
          <w:szCs w:val="21"/>
        </w:rPr>
      </w:pPr>
      <w:r>
        <w:rPr>
          <w:rFonts w:cs="宋体" w:asciiTheme="minorEastAsia" w:hAnsiTheme="minorEastAsia"/>
          <w:b/>
          <w:bCs/>
          <w:kern w:val="2"/>
          <w:sz w:val="21"/>
          <w:szCs w:val="21"/>
        </w:rPr>
        <w:t>四、实施标准及防制要求</w:t>
      </w:r>
    </w:p>
    <w:p>
      <w:pPr>
        <w:pStyle w:val="9"/>
        <w:spacing w:line="360" w:lineRule="auto"/>
        <w:ind w:firstLine="420" w:firstLineChars="200"/>
        <w:rPr>
          <w:rFonts w:hint="default" w:cs="宋体" w:asciiTheme="minorEastAsia" w:hAnsiTheme="minorEastAsia"/>
          <w:kern w:val="2"/>
          <w:sz w:val="21"/>
          <w:szCs w:val="21"/>
        </w:rPr>
      </w:pPr>
      <w:r>
        <w:rPr>
          <w:rFonts w:cs="宋体" w:asciiTheme="minorEastAsia" w:hAnsiTheme="minorEastAsia"/>
          <w:kern w:val="2"/>
          <w:sz w:val="21"/>
          <w:szCs w:val="21"/>
        </w:rPr>
        <w:t>1.实施标准</w:t>
      </w:r>
    </w:p>
    <w:p>
      <w:pPr>
        <w:pStyle w:val="9"/>
        <w:spacing w:line="360" w:lineRule="auto"/>
        <w:ind w:firstLine="420" w:firstLineChars="200"/>
        <w:rPr>
          <w:rFonts w:hint="default" w:cs="宋体" w:asciiTheme="minorEastAsia" w:hAnsiTheme="minorEastAsia"/>
          <w:kern w:val="2"/>
          <w:sz w:val="21"/>
          <w:szCs w:val="21"/>
        </w:rPr>
      </w:pPr>
      <w:r>
        <w:rPr>
          <w:rFonts w:cs="宋体" w:asciiTheme="minorEastAsia" w:hAnsiTheme="minorEastAsia"/>
          <w:kern w:val="2"/>
          <w:sz w:val="21"/>
          <w:szCs w:val="21"/>
        </w:rPr>
        <w:t>1.1灭鼠：指导</w:t>
      </w:r>
      <w:r>
        <w:rPr>
          <w:rFonts w:hint="eastAsia" w:cs="宋体" w:asciiTheme="minorEastAsia" w:hAnsiTheme="minorEastAsia"/>
          <w:kern w:val="2"/>
          <w:sz w:val="21"/>
          <w:szCs w:val="21"/>
          <w:lang w:eastAsia="zh-CN"/>
        </w:rPr>
        <w:t>医院</w:t>
      </w:r>
      <w:r>
        <w:rPr>
          <w:rFonts w:cs="宋体" w:asciiTheme="minorEastAsia" w:hAnsiTheme="minorEastAsia"/>
          <w:kern w:val="2"/>
          <w:sz w:val="21"/>
          <w:szCs w:val="21"/>
        </w:rPr>
        <w:t>完善防鼠设施，服务公司辅以药物杀灭，达到：室内鼠迹阳性率不超过2%，不同类型的外环境延长2000米，鼠迹不超过5处，防鼠设施合格率≥95%。</w:t>
      </w:r>
    </w:p>
    <w:p>
      <w:pPr>
        <w:pStyle w:val="9"/>
        <w:spacing w:line="360" w:lineRule="auto"/>
        <w:ind w:firstLine="420" w:firstLineChars="200"/>
        <w:rPr>
          <w:rFonts w:hint="default" w:cs="宋体" w:asciiTheme="minorEastAsia" w:hAnsiTheme="minorEastAsia"/>
          <w:kern w:val="2"/>
          <w:sz w:val="21"/>
          <w:szCs w:val="21"/>
        </w:rPr>
      </w:pPr>
      <w:r>
        <w:rPr>
          <w:rFonts w:cs="宋体" w:asciiTheme="minorEastAsia" w:hAnsiTheme="minorEastAsia"/>
          <w:kern w:val="2"/>
          <w:sz w:val="21"/>
          <w:szCs w:val="21"/>
        </w:rPr>
        <w:t>1.2灭蝇：</w:t>
      </w:r>
      <w:r>
        <w:rPr>
          <w:rFonts w:hint="eastAsia" w:cs="宋体" w:asciiTheme="minorEastAsia" w:hAnsiTheme="minorEastAsia"/>
          <w:kern w:val="2"/>
          <w:sz w:val="21"/>
          <w:szCs w:val="21"/>
          <w:lang w:eastAsia="zh-CN"/>
        </w:rPr>
        <w:t>医院</w:t>
      </w:r>
      <w:r>
        <w:rPr>
          <w:rFonts w:cs="宋体" w:asciiTheme="minorEastAsia" w:hAnsiTheme="minorEastAsia"/>
          <w:kern w:val="2"/>
          <w:sz w:val="21"/>
          <w:szCs w:val="21"/>
        </w:rPr>
        <w:t>抓好孳生地治理，服务公司辅以药物灭蝇，达到：室内有蝇房间不超过1%，阳性间蝇密度不超过3只/间；室外蝇类孳生地阳性率不超过3%；防蝇设施合格率≥95%。</w:t>
      </w:r>
    </w:p>
    <w:p>
      <w:pPr>
        <w:pStyle w:val="9"/>
        <w:spacing w:line="360" w:lineRule="auto"/>
        <w:ind w:firstLine="420" w:firstLineChars="200"/>
        <w:jc w:val="both"/>
        <w:rPr>
          <w:rFonts w:hint="default" w:cs="宋体" w:asciiTheme="minorEastAsia" w:hAnsiTheme="minorEastAsia"/>
          <w:kern w:val="2"/>
          <w:sz w:val="21"/>
          <w:szCs w:val="21"/>
        </w:rPr>
      </w:pPr>
      <w:r>
        <w:rPr>
          <w:rFonts w:cs="宋体" w:asciiTheme="minorEastAsia" w:hAnsiTheme="minorEastAsia"/>
          <w:kern w:val="2"/>
          <w:sz w:val="21"/>
          <w:szCs w:val="21"/>
        </w:rPr>
        <w:t>1.3灭蟑螂：采用化学、物理的方法有效杀灭蟑螂成虫、若虫。达到：蜚蠊或若虫侵害率≤3%，平均每阳性间（处）或若虫数小蠊≤10只，大蠊≤5只；蜚蠊卵鞘查获率≤2%，平均每阳性间（处）卵鞘数≤4只；蟑迹查获≤5%。</w:t>
      </w:r>
    </w:p>
    <w:p>
      <w:pPr>
        <w:pStyle w:val="9"/>
        <w:spacing w:line="360" w:lineRule="auto"/>
        <w:ind w:firstLine="420" w:firstLineChars="200"/>
        <w:jc w:val="both"/>
        <w:rPr>
          <w:rFonts w:hint="default" w:cs="宋体" w:asciiTheme="minorEastAsia" w:hAnsiTheme="minorEastAsia"/>
          <w:kern w:val="2"/>
          <w:sz w:val="21"/>
          <w:szCs w:val="21"/>
        </w:rPr>
      </w:pPr>
      <w:r>
        <w:rPr>
          <w:rFonts w:cs="宋体" w:asciiTheme="minorEastAsia" w:hAnsiTheme="minorEastAsia"/>
          <w:kern w:val="2"/>
          <w:sz w:val="21"/>
          <w:szCs w:val="21"/>
        </w:rPr>
        <w:t>1.4灭蚊：</w:t>
      </w:r>
      <w:r>
        <w:rPr>
          <w:rFonts w:hint="eastAsia" w:cs="宋体" w:asciiTheme="minorEastAsia" w:hAnsiTheme="minorEastAsia"/>
          <w:kern w:val="2"/>
          <w:sz w:val="21"/>
          <w:szCs w:val="21"/>
          <w:lang w:eastAsia="zh-CN"/>
        </w:rPr>
        <w:t>医院</w:t>
      </w:r>
      <w:r>
        <w:rPr>
          <w:rFonts w:cs="宋体" w:asciiTheme="minorEastAsia" w:hAnsiTheme="minorEastAsia"/>
          <w:kern w:val="2"/>
          <w:sz w:val="21"/>
          <w:szCs w:val="21"/>
        </w:rPr>
        <w:t>进行水体治理，服务公司采用化学药物杀灭，两者结合，达到：小型积水蚊虫路径≤0.8，大中型水体蚊虫采样勺指数≤3%，平均每阳性勺少于5只蚊虫幼虫和蛹；外环境蚊虫停落指数≤1.5。</w:t>
      </w:r>
    </w:p>
    <w:p>
      <w:pPr>
        <w:pStyle w:val="9"/>
        <w:spacing w:line="360" w:lineRule="auto"/>
        <w:ind w:firstLine="420" w:firstLineChars="200"/>
        <w:jc w:val="both"/>
        <w:rPr>
          <w:rFonts w:hint="default" w:cs="宋体" w:asciiTheme="minorEastAsia" w:hAnsiTheme="minorEastAsia"/>
          <w:kern w:val="2"/>
          <w:sz w:val="21"/>
          <w:szCs w:val="21"/>
        </w:rPr>
      </w:pPr>
      <w:r>
        <w:rPr>
          <w:rFonts w:cs="宋体" w:asciiTheme="minorEastAsia" w:hAnsiTheme="minorEastAsia"/>
          <w:kern w:val="2"/>
          <w:sz w:val="21"/>
          <w:szCs w:val="21"/>
        </w:rPr>
        <w:t>2.实施要求</w:t>
      </w:r>
    </w:p>
    <w:p>
      <w:pPr>
        <w:pStyle w:val="9"/>
        <w:spacing w:line="360" w:lineRule="auto"/>
        <w:ind w:firstLine="420" w:firstLineChars="200"/>
        <w:jc w:val="both"/>
        <w:rPr>
          <w:rFonts w:hint="default" w:cs="宋体" w:asciiTheme="minorEastAsia" w:hAnsiTheme="minorEastAsia"/>
          <w:kern w:val="2"/>
          <w:sz w:val="21"/>
          <w:szCs w:val="21"/>
        </w:rPr>
      </w:pPr>
      <w:r>
        <w:rPr>
          <w:rFonts w:cs="宋体" w:asciiTheme="minorEastAsia" w:hAnsiTheme="minorEastAsia"/>
          <w:kern w:val="2"/>
          <w:sz w:val="21"/>
          <w:szCs w:val="21"/>
        </w:rPr>
        <w:t>2.1项目总体要求：</w:t>
      </w:r>
    </w:p>
    <w:p>
      <w:pPr>
        <w:pStyle w:val="9"/>
        <w:spacing w:line="360" w:lineRule="auto"/>
        <w:ind w:firstLine="420" w:firstLineChars="200"/>
        <w:jc w:val="both"/>
        <w:rPr>
          <w:rFonts w:hint="default" w:cs="宋体" w:asciiTheme="minorEastAsia" w:hAnsiTheme="minorEastAsia"/>
          <w:kern w:val="2"/>
          <w:sz w:val="21"/>
          <w:szCs w:val="21"/>
        </w:rPr>
      </w:pPr>
      <w:r>
        <w:rPr>
          <w:rFonts w:cs="宋体" w:asciiTheme="minorEastAsia" w:hAnsiTheme="minorEastAsia"/>
          <w:kern w:val="2"/>
          <w:sz w:val="21"/>
          <w:szCs w:val="21"/>
        </w:rPr>
        <w:t>① 货物质量保证：供应商提供所有货物必须在有效期范围内的正品，所有产品符合《中华人民共和国产品质量法》、《中华人民共和国计量法》、《中华人民共和国标准化法》要求,并完全符合国家质量标准，附药品农药登记证、农药生产批准证书或农药生产许可证、企业标准证。</w:t>
      </w:r>
    </w:p>
    <w:p>
      <w:pPr>
        <w:pStyle w:val="9"/>
        <w:spacing w:line="360" w:lineRule="auto"/>
        <w:ind w:firstLine="420" w:firstLineChars="200"/>
        <w:jc w:val="both"/>
        <w:rPr>
          <w:rFonts w:hint="default" w:cs="宋体" w:asciiTheme="minorEastAsia" w:hAnsiTheme="minorEastAsia"/>
          <w:kern w:val="2"/>
          <w:sz w:val="21"/>
          <w:szCs w:val="21"/>
        </w:rPr>
      </w:pPr>
      <w:r>
        <w:rPr>
          <w:rFonts w:cs="宋体" w:asciiTheme="minorEastAsia" w:hAnsiTheme="minorEastAsia"/>
          <w:kern w:val="2"/>
          <w:sz w:val="21"/>
          <w:szCs w:val="21"/>
        </w:rPr>
        <w:t>② 权利保证：供应商应保证需方所使用货物或技术服务不受第三方关于侵犯其所有权、专利权、商标权、设计权、著作权等指控,供应商在开展病媒生物防制达标服务过程中，一方面须加强作业防护，另一方面在提供药物和投放活动过程中加强宣传，确保无任何重大责任事故出现，如在服务过程中出现任何责任事故均由供应商负责。</w:t>
      </w:r>
    </w:p>
    <w:p>
      <w:pPr>
        <w:pStyle w:val="9"/>
        <w:spacing w:line="360" w:lineRule="auto"/>
        <w:ind w:firstLine="420" w:firstLineChars="200"/>
        <w:jc w:val="both"/>
        <w:rPr>
          <w:rFonts w:hint="default" w:cs="宋体" w:asciiTheme="minorEastAsia" w:hAnsiTheme="minorEastAsia"/>
          <w:kern w:val="2"/>
          <w:sz w:val="21"/>
          <w:szCs w:val="21"/>
        </w:rPr>
      </w:pPr>
      <w:r>
        <w:rPr>
          <w:rFonts w:cs="宋体" w:asciiTheme="minorEastAsia" w:hAnsiTheme="minorEastAsia"/>
          <w:kern w:val="2"/>
          <w:sz w:val="21"/>
          <w:szCs w:val="21"/>
        </w:rPr>
        <w:t>3.消杀要求</w:t>
      </w:r>
    </w:p>
    <w:p>
      <w:pPr>
        <w:pStyle w:val="9"/>
        <w:spacing w:line="360" w:lineRule="auto"/>
        <w:ind w:firstLine="420" w:firstLineChars="200"/>
        <w:jc w:val="both"/>
        <w:rPr>
          <w:rFonts w:hint="default" w:cs="宋体" w:asciiTheme="minorEastAsia" w:hAnsiTheme="minorEastAsia"/>
          <w:kern w:val="2"/>
          <w:sz w:val="21"/>
          <w:szCs w:val="21"/>
        </w:rPr>
      </w:pPr>
      <w:r>
        <w:rPr>
          <w:rFonts w:cs="宋体" w:asciiTheme="minorEastAsia" w:hAnsiTheme="minorEastAsia"/>
          <w:kern w:val="2"/>
          <w:sz w:val="21"/>
          <w:szCs w:val="21"/>
        </w:rPr>
        <w:t>3.1做好日常灭鼠除害的巩固工作，集中消杀期间，随时检查毒饵消耗情况，及时进行补投；需要增设的防鼠设施应向甲方提出建议。</w:t>
      </w:r>
    </w:p>
    <w:p>
      <w:pPr>
        <w:pStyle w:val="9"/>
        <w:spacing w:line="360" w:lineRule="auto"/>
        <w:ind w:firstLine="420" w:firstLineChars="200"/>
        <w:jc w:val="both"/>
        <w:rPr>
          <w:rFonts w:hint="default" w:cs="宋体" w:asciiTheme="minorEastAsia" w:hAnsiTheme="minorEastAsia"/>
          <w:kern w:val="2"/>
          <w:sz w:val="21"/>
          <w:szCs w:val="21"/>
        </w:rPr>
      </w:pPr>
      <w:r>
        <w:rPr>
          <w:rFonts w:cs="宋体" w:asciiTheme="minorEastAsia" w:hAnsiTheme="minorEastAsia"/>
          <w:kern w:val="2"/>
          <w:sz w:val="21"/>
          <w:szCs w:val="21"/>
        </w:rPr>
        <w:t>3.2确保药物使用安全、有效。投（施）药后，应向甲方指出需防护的部位和措施；</w:t>
      </w:r>
    </w:p>
    <w:p>
      <w:pPr>
        <w:pStyle w:val="9"/>
        <w:spacing w:line="360" w:lineRule="auto"/>
        <w:ind w:firstLine="420" w:firstLineChars="200"/>
        <w:jc w:val="both"/>
        <w:rPr>
          <w:rFonts w:hint="default" w:cs="宋体" w:asciiTheme="minorEastAsia" w:hAnsiTheme="minorEastAsia"/>
          <w:kern w:val="2"/>
          <w:sz w:val="21"/>
          <w:szCs w:val="21"/>
        </w:rPr>
      </w:pPr>
      <w:r>
        <w:rPr>
          <w:rFonts w:cs="宋体" w:asciiTheme="minorEastAsia" w:hAnsiTheme="minorEastAsia"/>
          <w:kern w:val="2"/>
          <w:sz w:val="21"/>
          <w:szCs w:val="21"/>
        </w:rPr>
        <w:t>3.3所使用的灭鼠毒饵、除虫药物必须达到国家相关质量标准；</w:t>
      </w:r>
    </w:p>
    <w:p>
      <w:pPr>
        <w:pStyle w:val="9"/>
        <w:spacing w:line="360" w:lineRule="auto"/>
        <w:ind w:firstLine="420" w:firstLineChars="200"/>
        <w:jc w:val="both"/>
        <w:rPr>
          <w:rFonts w:hint="default" w:cs="宋体" w:asciiTheme="minorEastAsia" w:hAnsiTheme="minorEastAsia"/>
          <w:kern w:val="2"/>
          <w:sz w:val="21"/>
          <w:szCs w:val="21"/>
        </w:rPr>
      </w:pPr>
      <w:r>
        <w:rPr>
          <w:rFonts w:cs="宋体" w:asciiTheme="minorEastAsia" w:hAnsiTheme="minorEastAsia"/>
          <w:kern w:val="2"/>
          <w:sz w:val="21"/>
          <w:szCs w:val="21"/>
        </w:rPr>
        <w:t>3.4事先做好施药前提示，不能影响</w:t>
      </w:r>
      <w:r>
        <w:rPr>
          <w:rFonts w:hint="eastAsia" w:cs="宋体" w:asciiTheme="minorEastAsia" w:hAnsiTheme="minorEastAsia"/>
          <w:kern w:val="2"/>
          <w:sz w:val="21"/>
          <w:szCs w:val="21"/>
          <w:lang w:eastAsia="zh-CN"/>
        </w:rPr>
        <w:t>医院正常秩序</w:t>
      </w:r>
      <w:r>
        <w:rPr>
          <w:rFonts w:cs="宋体" w:asciiTheme="minorEastAsia" w:hAnsiTheme="minorEastAsia"/>
          <w:kern w:val="2"/>
          <w:sz w:val="21"/>
          <w:szCs w:val="21"/>
        </w:rPr>
        <w:t>；</w:t>
      </w:r>
    </w:p>
    <w:p>
      <w:pPr>
        <w:pStyle w:val="9"/>
        <w:spacing w:line="360" w:lineRule="auto"/>
        <w:ind w:firstLine="420" w:firstLineChars="200"/>
        <w:jc w:val="both"/>
        <w:rPr>
          <w:rFonts w:hint="default" w:cs="宋体" w:asciiTheme="minorEastAsia" w:hAnsiTheme="minorEastAsia"/>
          <w:kern w:val="2"/>
          <w:sz w:val="21"/>
          <w:szCs w:val="21"/>
        </w:rPr>
      </w:pPr>
      <w:r>
        <w:rPr>
          <w:rFonts w:cs="宋体" w:asciiTheme="minorEastAsia" w:hAnsiTheme="minorEastAsia"/>
          <w:kern w:val="2"/>
          <w:sz w:val="21"/>
          <w:szCs w:val="21"/>
        </w:rPr>
        <w:t>3.5确保对甲方辖区内的动植物及公共设施不造成损害；</w:t>
      </w:r>
    </w:p>
    <w:p>
      <w:pPr>
        <w:pStyle w:val="9"/>
        <w:spacing w:line="360" w:lineRule="auto"/>
        <w:ind w:firstLine="420" w:firstLineChars="200"/>
        <w:jc w:val="both"/>
        <w:rPr>
          <w:rFonts w:hint="default" w:cs="宋体" w:asciiTheme="minorEastAsia" w:hAnsiTheme="minorEastAsia"/>
          <w:kern w:val="2"/>
          <w:sz w:val="21"/>
          <w:szCs w:val="21"/>
        </w:rPr>
      </w:pPr>
      <w:r>
        <w:rPr>
          <w:rFonts w:cs="宋体" w:asciiTheme="minorEastAsia" w:hAnsiTheme="minorEastAsia"/>
          <w:kern w:val="2"/>
          <w:sz w:val="21"/>
          <w:szCs w:val="21"/>
        </w:rPr>
        <w:t>3.6确保作业安全。若因施工原因造成的安全事故及存在安全隐患造成自身和他人人身财产损害，其责任由乙方承担；</w:t>
      </w:r>
    </w:p>
    <w:p>
      <w:pPr>
        <w:pStyle w:val="9"/>
        <w:spacing w:line="360" w:lineRule="auto"/>
        <w:ind w:firstLine="420" w:firstLineChars="200"/>
        <w:jc w:val="both"/>
        <w:rPr>
          <w:rFonts w:hint="default" w:cs="宋体" w:asciiTheme="minorEastAsia" w:hAnsiTheme="minorEastAsia"/>
          <w:kern w:val="2"/>
          <w:sz w:val="21"/>
          <w:szCs w:val="21"/>
        </w:rPr>
      </w:pPr>
      <w:r>
        <w:rPr>
          <w:rFonts w:cs="宋体" w:asciiTheme="minorEastAsia" w:hAnsiTheme="minorEastAsia"/>
          <w:kern w:val="2"/>
          <w:sz w:val="21"/>
          <w:szCs w:val="21"/>
        </w:rPr>
        <w:t>3.7开展日常消杀维护，确保消杀效果；对密度较高的场所，应加大消杀频次；做好设置的灭蚊蝇器械的日常维护，确保器械正常使用；</w:t>
      </w:r>
    </w:p>
    <w:p>
      <w:pPr>
        <w:pStyle w:val="9"/>
        <w:spacing w:line="360" w:lineRule="auto"/>
        <w:ind w:firstLine="420" w:firstLineChars="200"/>
        <w:jc w:val="both"/>
        <w:rPr>
          <w:rFonts w:hint="default" w:cs="宋体" w:asciiTheme="minorEastAsia" w:hAnsiTheme="minorEastAsia"/>
          <w:kern w:val="2"/>
          <w:sz w:val="21"/>
          <w:szCs w:val="21"/>
        </w:rPr>
      </w:pPr>
      <w:r>
        <w:rPr>
          <w:rFonts w:cs="宋体" w:asciiTheme="minorEastAsia" w:hAnsiTheme="minorEastAsia"/>
          <w:kern w:val="2"/>
          <w:sz w:val="21"/>
          <w:szCs w:val="21"/>
        </w:rPr>
        <w:t>3.8统一、集中开展除“四害”工作时，提前</w:t>
      </w:r>
      <w:r>
        <w:rPr>
          <w:rFonts w:hint="eastAsia" w:cs="宋体" w:asciiTheme="minorEastAsia" w:hAnsiTheme="minorEastAsia"/>
          <w:kern w:val="2"/>
          <w:sz w:val="21"/>
          <w:szCs w:val="21"/>
          <w:lang w:eastAsia="zh-CN"/>
        </w:rPr>
        <w:t>两</w:t>
      </w:r>
      <w:r>
        <w:rPr>
          <w:rFonts w:cs="宋体" w:asciiTheme="minorEastAsia" w:hAnsiTheme="minorEastAsia"/>
          <w:kern w:val="2"/>
          <w:sz w:val="21"/>
          <w:szCs w:val="21"/>
        </w:rPr>
        <w:t>个工作日向甲方告知消杀服务时间；</w:t>
      </w:r>
    </w:p>
    <w:p>
      <w:pPr>
        <w:pStyle w:val="9"/>
        <w:spacing w:line="360" w:lineRule="auto"/>
        <w:ind w:firstLine="420" w:firstLineChars="200"/>
        <w:jc w:val="both"/>
        <w:rPr>
          <w:rFonts w:hint="default" w:cs="宋体" w:asciiTheme="minorEastAsia" w:hAnsiTheme="minorEastAsia"/>
          <w:kern w:val="2"/>
          <w:sz w:val="21"/>
          <w:szCs w:val="21"/>
        </w:rPr>
      </w:pPr>
      <w:r>
        <w:rPr>
          <w:rFonts w:cs="宋体" w:asciiTheme="minorEastAsia" w:hAnsiTheme="minorEastAsia"/>
          <w:kern w:val="2"/>
          <w:sz w:val="21"/>
          <w:szCs w:val="21"/>
        </w:rPr>
        <w:t>3.9统一着装、佩证上岗、明确任务、文明作业。填写服务登记卡，并请服务单位有关人员签字，作为当次服务的凭据；</w:t>
      </w:r>
    </w:p>
    <w:p>
      <w:pPr>
        <w:pStyle w:val="9"/>
        <w:spacing w:line="360" w:lineRule="auto"/>
        <w:ind w:firstLine="420" w:firstLineChars="200"/>
        <w:jc w:val="both"/>
        <w:rPr>
          <w:rFonts w:hint="default" w:cs="宋体" w:asciiTheme="minorEastAsia" w:hAnsiTheme="minorEastAsia"/>
          <w:kern w:val="2"/>
          <w:sz w:val="21"/>
          <w:szCs w:val="21"/>
        </w:rPr>
      </w:pPr>
      <w:r>
        <w:rPr>
          <w:rFonts w:cs="宋体" w:asciiTheme="minorEastAsia" w:hAnsiTheme="minorEastAsia"/>
          <w:kern w:val="2"/>
          <w:sz w:val="21"/>
          <w:szCs w:val="21"/>
        </w:rPr>
        <w:t>3.10派往甲方服务的工作人员具有国家相关部门颁发的从业资格证书；</w:t>
      </w:r>
    </w:p>
    <w:p>
      <w:pPr>
        <w:pStyle w:val="9"/>
        <w:spacing w:line="360" w:lineRule="auto"/>
        <w:ind w:firstLine="420" w:firstLineChars="200"/>
        <w:jc w:val="both"/>
        <w:rPr>
          <w:rFonts w:hint="default" w:cs="宋体" w:asciiTheme="minorEastAsia" w:hAnsiTheme="minorEastAsia"/>
          <w:kern w:val="2"/>
          <w:sz w:val="21"/>
          <w:szCs w:val="21"/>
        </w:rPr>
      </w:pPr>
      <w:r>
        <w:rPr>
          <w:rFonts w:cs="宋体" w:asciiTheme="minorEastAsia" w:hAnsiTheme="minorEastAsia"/>
          <w:kern w:val="2"/>
          <w:sz w:val="21"/>
          <w:szCs w:val="21"/>
        </w:rPr>
        <w:t>3.11有责任指导</w:t>
      </w:r>
      <w:r>
        <w:rPr>
          <w:rFonts w:hint="eastAsia" w:cs="宋体" w:asciiTheme="minorEastAsia" w:hAnsiTheme="minorEastAsia"/>
          <w:kern w:val="2"/>
          <w:sz w:val="21"/>
          <w:szCs w:val="21"/>
          <w:lang w:eastAsia="zh-CN"/>
        </w:rPr>
        <w:t>医院</w:t>
      </w:r>
      <w:r>
        <w:rPr>
          <w:rFonts w:cs="宋体" w:asciiTheme="minorEastAsia" w:hAnsiTheme="minorEastAsia"/>
          <w:kern w:val="2"/>
          <w:sz w:val="21"/>
          <w:szCs w:val="21"/>
        </w:rPr>
        <w:t>修复、增设防鼠设施和做好日常灭鼠除害的巩固工作。需要增设的防鼠设施向甲方提出建议；</w:t>
      </w:r>
    </w:p>
    <w:p>
      <w:pPr>
        <w:pStyle w:val="9"/>
        <w:spacing w:line="360" w:lineRule="auto"/>
        <w:ind w:firstLine="420" w:firstLineChars="200"/>
        <w:jc w:val="both"/>
        <w:rPr>
          <w:rFonts w:hint="default" w:cs="宋体" w:asciiTheme="minorEastAsia" w:hAnsiTheme="minorEastAsia"/>
          <w:kern w:val="2"/>
          <w:sz w:val="21"/>
          <w:szCs w:val="21"/>
        </w:rPr>
      </w:pPr>
      <w:r>
        <w:rPr>
          <w:rFonts w:cs="宋体" w:asciiTheme="minorEastAsia" w:hAnsiTheme="minorEastAsia"/>
          <w:kern w:val="2"/>
          <w:sz w:val="21"/>
          <w:szCs w:val="21"/>
        </w:rPr>
        <w:t>3.12乙方所有工作人员在消杀服务期间，应遵守相关法律法规，不得有任何违法违规事件发生。</w:t>
      </w:r>
    </w:p>
    <w:p>
      <w:pPr>
        <w:rPr>
          <w:rFonts w:asciiTheme="minorEastAsia" w:hAnsiTheme="minorEastAsia" w:eastAsiaTheme="minorEastAsia"/>
          <w:szCs w:val="21"/>
        </w:rPr>
      </w:pPr>
      <w:bookmarkStart w:id="0" w:name="_Toc27488291"/>
      <w:bookmarkStart w:id="1" w:name="_Toc24456"/>
      <w:r>
        <w:rPr>
          <w:rFonts w:hint="eastAsia" w:asciiTheme="minorEastAsia" w:hAnsiTheme="minorEastAsia" w:eastAsiaTheme="minorEastAsia"/>
          <w:szCs w:val="21"/>
        </w:rPr>
        <w:br w:type="page"/>
      </w:r>
    </w:p>
    <w:p>
      <w:pPr>
        <w:keepNext/>
        <w:keepLines/>
        <w:spacing w:before="340" w:after="330" w:line="576" w:lineRule="auto"/>
        <w:jc w:val="center"/>
        <w:outlineLvl w:val="0"/>
        <w:rPr>
          <w:rFonts w:hint="eastAsia" w:ascii="宋体" w:hAnsi="宋体" w:cs="宋体" w:eastAsiaTheme="majorEastAsia"/>
          <w:b/>
          <w:color w:val="000000"/>
          <w:kern w:val="0"/>
          <w:sz w:val="28"/>
          <w:szCs w:val="28"/>
          <w:lang w:eastAsia="zh-CN"/>
        </w:rPr>
      </w:pPr>
      <w:r>
        <w:rPr>
          <w:rFonts w:hint="eastAsia" w:asciiTheme="majorEastAsia" w:hAnsiTheme="majorEastAsia" w:eastAsiaTheme="majorEastAsia" w:cstheme="majorEastAsia"/>
          <w:b/>
          <w:bCs/>
          <w:sz w:val="32"/>
          <w:szCs w:val="32"/>
        </w:rPr>
        <w:t>大邑县人民医院</w:t>
      </w:r>
      <w:r>
        <w:rPr>
          <w:rFonts w:hint="eastAsia" w:asciiTheme="majorEastAsia" w:hAnsiTheme="majorEastAsia" w:eastAsiaTheme="majorEastAsia" w:cstheme="majorEastAsia"/>
          <w:b/>
          <w:bCs/>
          <w:sz w:val="32"/>
          <w:szCs w:val="32"/>
          <w:lang w:eastAsia="zh-CN"/>
        </w:rPr>
        <w:t>“除四害”</w:t>
      </w:r>
      <w:r>
        <w:rPr>
          <w:rFonts w:hint="eastAsia" w:asciiTheme="majorEastAsia" w:hAnsiTheme="majorEastAsia" w:eastAsiaTheme="majorEastAsia" w:cstheme="majorEastAsia"/>
          <w:b/>
          <w:bCs/>
          <w:kern w:val="44"/>
          <w:sz w:val="32"/>
          <w:szCs w:val="32"/>
        </w:rPr>
        <w:t>服务</w:t>
      </w:r>
      <w:r>
        <w:rPr>
          <w:rFonts w:hint="eastAsia" w:asciiTheme="majorEastAsia" w:hAnsiTheme="majorEastAsia" w:eastAsiaTheme="majorEastAsia" w:cstheme="majorEastAsia"/>
          <w:b/>
          <w:kern w:val="44"/>
          <w:sz w:val="32"/>
          <w:szCs w:val="32"/>
        </w:rPr>
        <w:t>综合评分</w:t>
      </w:r>
      <w:r>
        <w:rPr>
          <w:rFonts w:hint="eastAsia" w:asciiTheme="majorEastAsia" w:hAnsiTheme="majorEastAsia" w:eastAsiaTheme="majorEastAsia" w:cstheme="majorEastAsia"/>
          <w:b/>
          <w:kern w:val="44"/>
          <w:sz w:val="32"/>
          <w:szCs w:val="32"/>
          <w:lang w:eastAsia="zh-CN"/>
        </w:rPr>
        <w:t>表</w:t>
      </w:r>
    </w:p>
    <w:p>
      <w:pPr>
        <w:pStyle w:val="4"/>
        <w:keepNext w:val="0"/>
        <w:keepLines w:val="0"/>
        <w:spacing w:before="0" w:after="0" w:line="40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综合评分</w:t>
      </w:r>
      <w:bookmarkEnd w:id="0"/>
      <w:bookmarkEnd w:id="1"/>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color w:val="000000"/>
          <w:szCs w:val="21"/>
          <w:lang w:eastAsia="zh-CN"/>
        </w:rPr>
        <w:t>一、</w:t>
      </w:r>
      <w:r>
        <w:rPr>
          <w:rFonts w:hint="eastAsia" w:asciiTheme="minorEastAsia" w:hAnsiTheme="minorEastAsia" w:eastAsiaTheme="minorEastAsia"/>
          <w:color w:val="000000"/>
          <w:szCs w:val="21"/>
        </w:rPr>
        <w:t>本次综合评分的因素是：</w:t>
      </w:r>
      <w:bookmarkStart w:id="2" w:name="_Hlk7347456"/>
      <w:r>
        <w:rPr>
          <w:rFonts w:hint="eastAsia" w:asciiTheme="minorEastAsia" w:hAnsiTheme="minorEastAsia" w:eastAsiaTheme="minorEastAsia"/>
          <w:szCs w:val="21"/>
        </w:rPr>
        <w:t>报价、资质信用、综合实力、履约能力、服务方案、应急预案。</w:t>
      </w:r>
      <w:bookmarkEnd w:id="2"/>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color w:val="000000"/>
          <w:szCs w:val="21"/>
          <w:lang w:eastAsia="zh-CN"/>
        </w:rPr>
        <w:t>二、</w:t>
      </w:r>
      <w:r>
        <w:rPr>
          <w:rFonts w:hint="eastAsia" w:asciiTheme="minorEastAsia" w:hAnsiTheme="minorEastAsia" w:eastAsiaTheme="minorEastAsia"/>
          <w:color w:val="000000"/>
          <w:szCs w:val="21"/>
        </w:rPr>
        <w:t>综合评分明细表</w:t>
      </w:r>
    </w:p>
    <w:tbl>
      <w:tblPr>
        <w:tblStyle w:val="7"/>
        <w:tblpPr w:leftFromText="180" w:rightFromText="180" w:vertAnchor="text" w:horzAnchor="margin" w:tblpY="758"/>
        <w:tblOverlap w:val="never"/>
        <w:tblW w:w="8901" w:type="dxa"/>
        <w:tblInd w:w="0" w:type="dxa"/>
        <w:tblLayout w:type="fixed"/>
        <w:tblCellMar>
          <w:top w:w="0" w:type="dxa"/>
          <w:left w:w="108" w:type="dxa"/>
          <w:bottom w:w="0" w:type="dxa"/>
          <w:right w:w="108" w:type="dxa"/>
        </w:tblCellMar>
      </w:tblPr>
      <w:tblGrid>
        <w:gridCol w:w="705"/>
        <w:gridCol w:w="971"/>
        <w:gridCol w:w="607"/>
        <w:gridCol w:w="5763"/>
        <w:gridCol w:w="855"/>
      </w:tblGrid>
      <w:tr>
        <w:tblPrEx>
          <w:tblLayout w:type="fixed"/>
          <w:tblCellMar>
            <w:top w:w="0" w:type="dxa"/>
            <w:left w:w="108" w:type="dxa"/>
            <w:bottom w:w="0" w:type="dxa"/>
            <w:right w:w="108" w:type="dxa"/>
          </w:tblCellMar>
        </w:tblPrEx>
        <w:trPr>
          <w:trHeight w:val="866" w:hRule="atLeast"/>
          <w:tblHead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评分因素</w:t>
            </w:r>
          </w:p>
        </w:tc>
        <w:tc>
          <w:tcPr>
            <w:tcW w:w="607"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分值</w:t>
            </w:r>
          </w:p>
        </w:tc>
        <w:tc>
          <w:tcPr>
            <w:tcW w:w="576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评分标准</w:t>
            </w:r>
          </w:p>
        </w:tc>
        <w:tc>
          <w:tcPr>
            <w:tcW w:w="85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备注</w:t>
            </w:r>
          </w:p>
        </w:tc>
      </w:tr>
      <w:tr>
        <w:tblPrEx>
          <w:tblLayout w:type="fixed"/>
          <w:tblCellMar>
            <w:top w:w="0" w:type="dxa"/>
            <w:left w:w="108" w:type="dxa"/>
            <w:bottom w:w="0" w:type="dxa"/>
            <w:right w:w="108" w:type="dxa"/>
          </w:tblCellMar>
        </w:tblPrEx>
        <w:trPr>
          <w:trHeight w:val="1496" w:hRule="atLeast"/>
          <w:tblHead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报价</w:t>
            </w:r>
          </w:p>
        </w:tc>
        <w:tc>
          <w:tcPr>
            <w:tcW w:w="607"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15分</w:t>
            </w:r>
          </w:p>
        </w:tc>
        <w:tc>
          <w:tcPr>
            <w:tcW w:w="5763" w:type="dxa"/>
            <w:tcBorders>
              <w:top w:val="single" w:color="auto" w:sz="4" w:space="0"/>
              <w:left w:val="nil"/>
              <w:bottom w:val="single" w:color="auto" w:sz="4" w:space="0"/>
              <w:right w:val="single" w:color="auto" w:sz="4" w:space="0"/>
            </w:tcBorders>
            <w:vAlign w:val="center"/>
          </w:tcPr>
          <w:p>
            <w:pPr>
              <w:spacing w:line="360" w:lineRule="auto"/>
              <w:rPr>
                <w:rFonts w:hint="eastAsia"/>
              </w:rPr>
            </w:pPr>
            <w:r>
              <w:rPr>
                <w:rFonts w:hint="eastAsia"/>
              </w:rPr>
              <w:t>满足</w:t>
            </w:r>
            <w:r>
              <w:rPr>
                <w:rFonts w:hint="eastAsia"/>
                <w:lang w:eastAsia="zh-CN"/>
              </w:rPr>
              <w:t>比选</w:t>
            </w:r>
            <w:r>
              <w:rPr>
                <w:rFonts w:hint="eastAsia"/>
              </w:rPr>
              <w:t>要求且</w:t>
            </w:r>
            <w:r>
              <w:rPr>
                <w:rFonts w:hint="eastAsia"/>
                <w:lang w:eastAsia="zh-CN"/>
              </w:rPr>
              <w:t>比选</w:t>
            </w:r>
            <w:r>
              <w:rPr>
                <w:rFonts w:hint="eastAsia"/>
              </w:rPr>
              <w:t>价格最低的报价为评标基准价，其价格分为满分。其他供应商的价格分统一按照下列公式计算：</w:t>
            </w:r>
            <w:r>
              <w:rPr>
                <w:rFonts w:hint="eastAsia"/>
                <w:lang w:eastAsia="zh-CN"/>
              </w:rPr>
              <w:t>比选</w:t>
            </w:r>
            <w:r>
              <w:rPr>
                <w:rFonts w:hint="eastAsia"/>
              </w:rPr>
              <w:t>报价得分=(</w:t>
            </w:r>
            <w:r>
              <w:rPr>
                <w:rFonts w:hint="eastAsia"/>
                <w:lang w:eastAsia="zh-CN"/>
              </w:rPr>
              <w:t>比选</w:t>
            </w:r>
            <w:r>
              <w:rPr>
                <w:rFonts w:hint="eastAsia"/>
              </w:rPr>
              <w:t>基准价／</w:t>
            </w:r>
            <w:r>
              <w:rPr>
                <w:rFonts w:hint="eastAsia"/>
                <w:lang w:eastAsia="zh-CN"/>
              </w:rPr>
              <w:t>比选</w:t>
            </w:r>
            <w:r>
              <w:rPr>
                <w:rFonts w:hint="eastAsia"/>
              </w:rPr>
              <w:t>报价)*</w:t>
            </w:r>
            <w:r>
              <w:rPr>
                <w:rFonts w:hint="eastAsia"/>
                <w:lang w:val="en-US" w:eastAsia="zh-CN"/>
              </w:rPr>
              <w:t>15</w:t>
            </w:r>
            <w:r>
              <w:rPr>
                <w:rFonts w:hint="eastAsia"/>
              </w:rPr>
              <w:t>*100%。</w:t>
            </w:r>
          </w:p>
          <w:p>
            <w:pPr>
              <w:pStyle w:val="2"/>
            </w:pPr>
            <w:r>
              <w:rPr>
                <w:color w:val="auto"/>
              </w:rPr>
              <w:t>注</w:t>
            </w:r>
            <w:r>
              <w:rPr>
                <w:rFonts w:hint="eastAsia"/>
                <w:color w:val="auto"/>
              </w:rPr>
              <w:t>：</w:t>
            </w:r>
            <w:r>
              <w:rPr>
                <w:color w:val="auto"/>
              </w:rPr>
              <w:t>报价得分保留小数点后</w:t>
            </w:r>
            <w:r>
              <w:rPr>
                <w:rFonts w:hint="eastAsia"/>
                <w:color w:val="auto"/>
              </w:rPr>
              <w:t>2位。</w:t>
            </w:r>
          </w:p>
        </w:tc>
        <w:tc>
          <w:tcPr>
            <w:tcW w:w="85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Cs w:val="21"/>
              </w:rPr>
            </w:pPr>
          </w:p>
        </w:tc>
      </w:tr>
      <w:tr>
        <w:tblPrEx>
          <w:tblLayout w:type="fixed"/>
          <w:tblCellMar>
            <w:top w:w="0" w:type="dxa"/>
            <w:left w:w="108" w:type="dxa"/>
            <w:bottom w:w="0" w:type="dxa"/>
            <w:right w:w="108" w:type="dxa"/>
          </w:tblCellMar>
        </w:tblPrEx>
        <w:trPr>
          <w:trHeight w:val="983" w:hRule="atLeast"/>
          <w:tblHead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资质信用</w:t>
            </w:r>
          </w:p>
        </w:tc>
        <w:tc>
          <w:tcPr>
            <w:tcW w:w="607"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szCs w:val="21"/>
              </w:rPr>
            </w:pPr>
            <w:r>
              <w:rPr>
                <w:rFonts w:hint="eastAsia" w:cs="宋体" w:asciiTheme="minorEastAsia" w:hAnsiTheme="minorEastAsia" w:eastAsiaTheme="minorEastAsia"/>
                <w:szCs w:val="21"/>
              </w:rPr>
              <w:t>20分</w:t>
            </w:r>
          </w:p>
        </w:tc>
        <w:tc>
          <w:tcPr>
            <w:tcW w:w="5763" w:type="dxa"/>
            <w:tcBorders>
              <w:top w:val="single" w:color="auto" w:sz="4" w:space="0"/>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szCs w:val="21"/>
              </w:rPr>
            </w:pPr>
            <w:r>
              <w:rPr>
                <w:rFonts w:hint="eastAsia" w:asciiTheme="minorEastAsia" w:hAnsiTheme="minorEastAsia" w:eastAsiaTheme="minorEastAsia"/>
                <w:bCs/>
                <w:color w:val="000000"/>
                <w:szCs w:val="21"/>
              </w:rPr>
              <w:t>具有</w:t>
            </w:r>
            <w:r>
              <w:rPr>
                <w:rFonts w:hint="eastAsia" w:asciiTheme="minorEastAsia" w:hAnsiTheme="minorEastAsia" w:eastAsiaTheme="minorEastAsia"/>
                <w:szCs w:val="21"/>
              </w:rPr>
              <w:t>有害生物防制服务机构服务能力证书；</w:t>
            </w:r>
          </w:p>
          <w:p>
            <w:pPr>
              <w:widowControl/>
              <w:spacing w:line="360" w:lineRule="auto"/>
              <w:rPr>
                <w:rFonts w:cs="宋体" w:asciiTheme="minorEastAsia" w:hAnsiTheme="minorEastAsia" w:eastAsiaTheme="minorEastAsia"/>
                <w:szCs w:val="21"/>
              </w:rPr>
            </w:pPr>
            <w:r>
              <w:rPr>
                <w:rFonts w:hint="eastAsia" w:asciiTheme="minorEastAsia" w:hAnsiTheme="minorEastAsia" w:eastAsiaTheme="minorEastAsia"/>
                <w:szCs w:val="21"/>
              </w:rPr>
              <w:t>（A级得6分，B级得</w:t>
            </w:r>
            <w:r>
              <w:rPr>
                <w:rFonts w:hint="eastAsia" w:cs="宋体" w:asciiTheme="minorEastAsia" w:hAnsiTheme="minorEastAsia" w:eastAsiaTheme="minorEastAsia"/>
                <w:szCs w:val="21"/>
              </w:rPr>
              <w:t>3分）</w:t>
            </w:r>
          </w:p>
          <w:p>
            <w:pPr>
              <w:widowControl/>
              <w:spacing w:line="360" w:lineRule="auto"/>
              <w:rPr>
                <w:rFonts w:asciiTheme="minorEastAsia" w:hAnsiTheme="minorEastAsia" w:eastAsiaTheme="minorEastAsia"/>
                <w:szCs w:val="21"/>
              </w:rPr>
            </w:pPr>
            <w:r>
              <w:rPr>
                <w:rFonts w:hint="eastAsia" w:cs="宋体" w:asciiTheme="minorEastAsia" w:hAnsiTheme="minorEastAsia" w:eastAsiaTheme="minorEastAsia"/>
                <w:szCs w:val="21"/>
              </w:rPr>
              <w:t>具有危化品经营许可证书得5分</w:t>
            </w:r>
          </w:p>
          <w:p>
            <w:pPr>
              <w:widowControl/>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具有有效的质量管理体系认证得3分</w:t>
            </w:r>
          </w:p>
          <w:p>
            <w:pPr>
              <w:widowControl/>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具有有效的环境管理体系认证得3分</w:t>
            </w:r>
          </w:p>
          <w:p>
            <w:pPr>
              <w:widowControl/>
              <w:spacing w:line="360" w:lineRule="auto"/>
              <w:rPr>
                <w:rFonts w:cs="宋体" w:asciiTheme="minorEastAsia" w:hAnsiTheme="minorEastAsia" w:eastAsiaTheme="minorEastAsia"/>
                <w:bCs/>
                <w:szCs w:val="21"/>
              </w:rPr>
            </w:pPr>
            <w:r>
              <w:rPr>
                <w:rFonts w:hint="eastAsia" w:asciiTheme="minorEastAsia" w:hAnsiTheme="minorEastAsia" w:eastAsiaTheme="minorEastAsia"/>
                <w:bCs/>
                <w:color w:val="000000"/>
                <w:szCs w:val="21"/>
              </w:rPr>
              <w:t>具有有效的职业健康安全管理体系认证得3分</w:t>
            </w:r>
          </w:p>
          <w:p>
            <w:pPr>
              <w:widowControl/>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注：提供认证证书复印件，并加盖供应商公章。</w:t>
            </w:r>
          </w:p>
        </w:tc>
        <w:tc>
          <w:tcPr>
            <w:tcW w:w="85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Cs w:val="21"/>
              </w:rPr>
            </w:pPr>
          </w:p>
        </w:tc>
      </w:tr>
      <w:tr>
        <w:tblPrEx>
          <w:tblLayout w:type="fixed"/>
          <w:tblCellMar>
            <w:top w:w="0" w:type="dxa"/>
            <w:left w:w="108" w:type="dxa"/>
            <w:bottom w:w="0" w:type="dxa"/>
            <w:right w:w="108" w:type="dxa"/>
          </w:tblCellMar>
        </w:tblPrEx>
        <w:trPr>
          <w:trHeight w:val="983" w:hRule="atLeast"/>
          <w:tblHead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综合实力</w:t>
            </w:r>
          </w:p>
        </w:tc>
        <w:tc>
          <w:tcPr>
            <w:tcW w:w="607"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w:t>
            </w:r>
            <w:r>
              <w:rPr>
                <w:rFonts w:hint="eastAsia" w:cs="宋体" w:asciiTheme="minorEastAsia" w:hAnsiTheme="minorEastAsia" w:eastAsiaTheme="minorEastAsia"/>
                <w:szCs w:val="21"/>
              </w:rPr>
              <w:t>分</w:t>
            </w:r>
          </w:p>
        </w:tc>
        <w:tc>
          <w:tcPr>
            <w:tcW w:w="5763" w:type="dxa"/>
            <w:tcBorders>
              <w:top w:val="single" w:color="auto" w:sz="4" w:space="0"/>
              <w:left w:val="nil"/>
              <w:bottom w:val="single" w:color="auto" w:sz="4" w:space="0"/>
              <w:right w:val="single" w:color="auto" w:sz="4" w:space="0"/>
            </w:tcBorders>
            <w:vAlign w:val="center"/>
          </w:tcPr>
          <w:p>
            <w:pPr>
              <w:widowControl/>
              <w:numPr>
                <w:ilvl w:val="0"/>
                <w:numId w:val="1"/>
              </w:num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供应商参加过类似项目，其履约能力和服务质量受到用户好评的，每提供一份证明材料得1分，最高得3分；</w:t>
            </w:r>
          </w:p>
          <w:p>
            <w:pPr>
              <w:widowControl/>
              <w:numPr>
                <w:ilvl w:val="0"/>
                <w:numId w:val="1"/>
              </w:num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供应商针对本项目具有高级职称的（有害生物防制员），每提供一人得2分，最多4分；具有中级职称的（有害生物防制员），每提供一人得1分，最多得2分。</w:t>
            </w:r>
          </w:p>
          <w:p>
            <w:pPr>
              <w:widowControl/>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注：证明材料及技术人员职称证书复印件均须加盖供应商公章</w:t>
            </w:r>
          </w:p>
        </w:tc>
        <w:tc>
          <w:tcPr>
            <w:tcW w:w="85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Cs w:val="21"/>
              </w:rPr>
            </w:pPr>
          </w:p>
        </w:tc>
      </w:tr>
      <w:tr>
        <w:tblPrEx>
          <w:tblLayout w:type="fixed"/>
          <w:tblCellMar>
            <w:top w:w="0" w:type="dxa"/>
            <w:left w:w="108" w:type="dxa"/>
            <w:bottom w:w="0" w:type="dxa"/>
            <w:right w:w="108" w:type="dxa"/>
          </w:tblCellMar>
        </w:tblPrEx>
        <w:trPr>
          <w:trHeight w:val="983" w:hRule="atLeast"/>
          <w:tblHeader/>
        </w:trPr>
        <w:tc>
          <w:tcPr>
            <w:tcW w:w="705" w:type="dxa"/>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971" w:type="dxa"/>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履约能力</w:t>
            </w:r>
          </w:p>
        </w:tc>
        <w:tc>
          <w:tcPr>
            <w:tcW w:w="607"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0分</w:t>
            </w:r>
          </w:p>
        </w:tc>
        <w:tc>
          <w:tcPr>
            <w:tcW w:w="5763" w:type="dxa"/>
            <w:tcBorders>
              <w:top w:val="single" w:color="auto" w:sz="4" w:space="0"/>
              <w:left w:val="nil"/>
              <w:bottom w:val="single" w:color="auto" w:sz="4" w:space="0"/>
              <w:right w:val="single" w:color="auto" w:sz="4" w:space="0"/>
            </w:tcBorders>
          </w:tcPr>
          <w:p>
            <w:pPr>
              <w:widowControl/>
              <w:spacing w:line="360" w:lineRule="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供应商自2019年1月1日至今的类似项目业绩证明材料，每提供一个得2分，最多得10分</w:t>
            </w:r>
            <w:r>
              <w:rPr>
                <w:rFonts w:hint="eastAsia" w:cs="宋体" w:asciiTheme="minorEastAsia" w:hAnsiTheme="minorEastAsia" w:eastAsiaTheme="minorEastAsia"/>
                <w:szCs w:val="21"/>
                <w:lang w:eastAsia="zh-CN"/>
              </w:rPr>
              <w:t>；</w:t>
            </w:r>
            <w:r>
              <w:rPr>
                <w:rFonts w:hint="eastAsia" w:asciiTheme="minorEastAsia" w:hAnsiTheme="minorEastAsia" w:eastAsiaTheme="minorEastAsia"/>
                <w:szCs w:val="21"/>
              </w:rPr>
              <w:t>拟使用的主要消杀药品</w:t>
            </w:r>
            <w:r>
              <w:rPr>
                <w:rFonts w:hint="eastAsia" w:cs="宋体" w:asciiTheme="minorEastAsia" w:hAnsiTheme="minorEastAsia" w:eastAsiaTheme="minorEastAsia"/>
                <w:szCs w:val="21"/>
              </w:rPr>
              <w:t>应提供对应药品的厂家三证如农药生产许可证、农药登记证、安全技术说明书、及针对此项目的药品质量保证书，证书提供</w:t>
            </w:r>
            <w:r>
              <w:rPr>
                <w:rFonts w:hint="eastAsia" w:cs="宋体" w:asciiTheme="minorEastAsia" w:hAnsiTheme="minorEastAsia" w:eastAsiaTheme="minorEastAsia"/>
                <w:szCs w:val="21"/>
                <w:lang w:eastAsia="zh-CN"/>
              </w:rPr>
              <w:t>齐</w:t>
            </w:r>
            <w:r>
              <w:rPr>
                <w:rFonts w:hint="eastAsia" w:cs="宋体" w:asciiTheme="minorEastAsia" w:hAnsiTheme="minorEastAsia" w:eastAsiaTheme="minorEastAsia"/>
                <w:szCs w:val="21"/>
              </w:rPr>
              <w:t>全得</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分（证书提供不全不得分）</w:t>
            </w:r>
            <w:r>
              <w:rPr>
                <w:rFonts w:hint="eastAsia" w:cs="宋体" w:asciiTheme="minorEastAsia" w:hAnsiTheme="minorEastAsia" w:eastAsiaTheme="minorEastAsia"/>
                <w:szCs w:val="21"/>
                <w:lang w:eastAsia="zh-CN"/>
              </w:rPr>
              <w:t>。</w:t>
            </w:r>
          </w:p>
          <w:p>
            <w:pPr>
              <w:widowControl/>
              <w:spacing w:line="360" w:lineRule="auto"/>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注：提供合同复印件</w:t>
            </w:r>
            <w:r>
              <w:rPr>
                <w:rFonts w:hint="eastAsia" w:cs="宋体" w:asciiTheme="minorEastAsia" w:hAnsiTheme="minorEastAsia" w:eastAsiaTheme="minorEastAsia"/>
                <w:szCs w:val="21"/>
                <w:lang w:eastAsia="zh-CN"/>
              </w:rPr>
              <w:t>、提供</w:t>
            </w:r>
            <w:r>
              <w:rPr>
                <w:rFonts w:hint="eastAsia" w:cs="宋体" w:asciiTheme="minorEastAsia" w:hAnsiTheme="minorEastAsia" w:eastAsiaTheme="minorEastAsia"/>
                <w:szCs w:val="21"/>
              </w:rPr>
              <w:t>证书复印件</w:t>
            </w:r>
            <w:r>
              <w:rPr>
                <w:rFonts w:hint="eastAsia" w:cs="宋体" w:asciiTheme="minorEastAsia" w:hAnsiTheme="minorEastAsia" w:eastAsiaTheme="minorEastAsia"/>
                <w:szCs w:val="21"/>
                <w:lang w:eastAsia="zh-CN"/>
              </w:rPr>
              <w:t>。</w:t>
            </w:r>
          </w:p>
        </w:tc>
        <w:tc>
          <w:tcPr>
            <w:tcW w:w="85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Cs w:val="21"/>
              </w:rPr>
            </w:pPr>
          </w:p>
        </w:tc>
      </w:tr>
      <w:tr>
        <w:tblPrEx>
          <w:tblLayout w:type="fixed"/>
          <w:tblCellMar>
            <w:top w:w="0" w:type="dxa"/>
            <w:left w:w="108" w:type="dxa"/>
            <w:bottom w:w="0" w:type="dxa"/>
            <w:right w:w="108" w:type="dxa"/>
          </w:tblCellMar>
        </w:tblPrEx>
        <w:trPr>
          <w:trHeight w:val="983" w:hRule="atLeast"/>
          <w:tblHead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服务方案</w:t>
            </w:r>
          </w:p>
        </w:tc>
        <w:tc>
          <w:tcPr>
            <w:tcW w:w="607"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szCs w:val="21"/>
              </w:rPr>
            </w:pPr>
            <w:r>
              <w:rPr>
                <w:rFonts w:hint="eastAsia" w:cs="宋体" w:asciiTheme="minorEastAsia" w:hAnsiTheme="minorEastAsia" w:eastAsiaTheme="minorEastAsia"/>
                <w:szCs w:val="21"/>
              </w:rPr>
              <w:t>30分</w:t>
            </w:r>
          </w:p>
        </w:tc>
        <w:tc>
          <w:tcPr>
            <w:tcW w:w="5763" w:type="dxa"/>
            <w:tcBorders>
              <w:top w:val="single" w:color="auto" w:sz="4" w:space="0"/>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根据供应商提供的具体服务方案进行评审：</w:t>
            </w:r>
          </w:p>
          <w:p>
            <w:pPr>
              <w:widowControl/>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包括但不限于防治对象、种类、科学合理用药方案、药品清单及相关证明材料、密度监测、设备设施及维护、人员时间安排等，提供以上内容完整、可行性强，方案符合</w:t>
            </w:r>
            <w:r>
              <w:rPr>
                <w:rFonts w:hint="eastAsia" w:asciiTheme="minorEastAsia" w:hAnsiTheme="minorEastAsia" w:eastAsiaTheme="minorEastAsia"/>
                <w:bCs/>
                <w:color w:val="auto"/>
                <w:szCs w:val="21"/>
                <w:lang w:eastAsia="zh-CN"/>
              </w:rPr>
              <w:t>本项目要求</w:t>
            </w:r>
            <w:r>
              <w:rPr>
                <w:rFonts w:hint="eastAsia" w:asciiTheme="minorEastAsia" w:hAnsiTheme="minorEastAsia" w:eastAsiaTheme="minorEastAsia"/>
                <w:bCs/>
                <w:color w:val="000000"/>
                <w:szCs w:val="21"/>
              </w:rPr>
              <w:t>的得30分，每有一项方案有缺陷或未提供的扣5分，扣完为止。</w:t>
            </w:r>
          </w:p>
        </w:tc>
        <w:tc>
          <w:tcPr>
            <w:tcW w:w="85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Cs w:val="21"/>
              </w:rPr>
            </w:pPr>
          </w:p>
        </w:tc>
      </w:tr>
      <w:tr>
        <w:tblPrEx>
          <w:tblLayout w:type="fixed"/>
          <w:tblCellMar>
            <w:top w:w="0" w:type="dxa"/>
            <w:left w:w="108" w:type="dxa"/>
            <w:bottom w:w="0" w:type="dxa"/>
            <w:right w:w="108" w:type="dxa"/>
          </w:tblCellMar>
        </w:tblPrEx>
        <w:trPr>
          <w:trHeight w:val="983" w:hRule="atLeast"/>
          <w:tblHead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应急预案</w:t>
            </w:r>
          </w:p>
        </w:tc>
        <w:tc>
          <w:tcPr>
            <w:tcW w:w="607"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Cs w:val="21"/>
              </w:rPr>
            </w:pPr>
            <w:r>
              <w:rPr>
                <w:rFonts w:hint="eastAsia" w:asciiTheme="minorEastAsia" w:hAnsiTheme="minorEastAsia" w:eastAsiaTheme="minorEastAsia"/>
                <w:color w:val="000000"/>
                <w:szCs w:val="21"/>
              </w:rPr>
              <w:t>6分</w:t>
            </w:r>
          </w:p>
        </w:tc>
        <w:tc>
          <w:tcPr>
            <w:tcW w:w="5763" w:type="dxa"/>
            <w:tcBorders>
              <w:top w:val="single" w:color="auto" w:sz="4" w:space="0"/>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bCs/>
                <w:color w:val="000000"/>
                <w:szCs w:val="21"/>
              </w:rPr>
            </w:pPr>
            <w:r>
              <w:rPr>
                <w:rFonts w:hint="eastAsia" w:cs="宋体" w:asciiTheme="minorEastAsia" w:hAnsiTheme="minorEastAsia" w:eastAsiaTheme="minorEastAsia"/>
                <w:color w:val="000000"/>
                <w:szCs w:val="21"/>
                <w:shd w:val="clear" w:color="auto" w:fill="FFFFFF"/>
              </w:rPr>
              <w:t>根据供应商提出的应急预案进行综合评审：包括针对因药品投放可能引起的突发性事件制定专门的应急预案，预案内容包括紧急人员疏散、应急医疗预案、环境保护措施、紧急处置计划以及后期检测监控等，方案完善、措施得当、可操作性强得</w:t>
            </w:r>
            <w:r>
              <w:rPr>
                <w:rFonts w:hint="eastAsia" w:cs="宋体" w:asciiTheme="minorEastAsia" w:hAnsiTheme="minorEastAsia" w:eastAsiaTheme="minorEastAsia"/>
                <w:color w:val="000000"/>
                <w:szCs w:val="21"/>
                <w:shd w:val="clear" w:color="auto" w:fill="FFFFFF"/>
                <w:lang w:val="en-US" w:eastAsia="zh-CN"/>
              </w:rPr>
              <w:t>6</w:t>
            </w:r>
            <w:r>
              <w:rPr>
                <w:rFonts w:hint="eastAsia" w:cs="宋体" w:asciiTheme="minorEastAsia" w:hAnsiTheme="minorEastAsia" w:eastAsiaTheme="minorEastAsia"/>
                <w:color w:val="000000"/>
                <w:szCs w:val="21"/>
                <w:shd w:val="clear" w:color="auto" w:fill="FFFFFF"/>
              </w:rPr>
              <w:t>分，每有一项应急方案有缺陷或未提供的扣</w:t>
            </w:r>
            <w:r>
              <w:rPr>
                <w:rFonts w:hint="eastAsia" w:cs="宋体" w:asciiTheme="minorEastAsia" w:hAnsiTheme="minorEastAsia" w:eastAsiaTheme="minorEastAsia"/>
                <w:color w:val="000000"/>
                <w:szCs w:val="21"/>
                <w:shd w:val="clear" w:color="auto" w:fill="FFFFFF"/>
                <w:lang w:val="en-US" w:eastAsia="zh-CN"/>
              </w:rPr>
              <w:t>2</w:t>
            </w:r>
            <w:r>
              <w:rPr>
                <w:rFonts w:hint="eastAsia" w:cs="宋体" w:asciiTheme="minorEastAsia" w:hAnsiTheme="minorEastAsia" w:eastAsiaTheme="minorEastAsia"/>
                <w:color w:val="000000"/>
                <w:szCs w:val="21"/>
                <w:shd w:val="clear" w:color="auto" w:fill="FFFFFF"/>
              </w:rPr>
              <w:t>分，扣完为止。</w:t>
            </w:r>
          </w:p>
        </w:tc>
        <w:tc>
          <w:tcPr>
            <w:tcW w:w="85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Cs w:val="21"/>
              </w:rPr>
            </w:pPr>
          </w:p>
        </w:tc>
      </w:tr>
    </w:tbl>
    <w:p>
      <w:pPr>
        <w:rPr>
          <w:rFonts w:asciiTheme="minorEastAsia" w:hAnsiTheme="minorEastAsia" w:eastAsiaTheme="minorEastAsia"/>
          <w:szCs w:val="21"/>
        </w:rPr>
      </w:pPr>
      <w:bookmarkStart w:id="3" w:name="_Hlk7347506"/>
    </w:p>
    <w:bookmarkEnd w:id="3"/>
    <w:p>
      <w:pPr>
        <w:pStyle w:val="9"/>
        <w:rPr>
          <w:rFonts w:hint="default" w:cs="宋体" w:asciiTheme="minorEastAsia" w:hAnsiTheme="minorEastAsia"/>
          <w:kern w:val="2"/>
          <w:sz w:val="21"/>
          <w:szCs w:val="21"/>
        </w:rPr>
      </w:pPr>
      <w:bookmarkStart w:id="4" w:name="_GoBack"/>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48BB47"/>
    <w:multiLevelType w:val="singleLevel"/>
    <w:tmpl w:val="A048BB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jVmZjZiNDg5YmViZDhiNTQwMDUzZjQxZGUxMGIifQ=="/>
  </w:docVars>
  <w:rsids>
    <w:rsidRoot w:val="270C55FC"/>
    <w:rsid w:val="00175045"/>
    <w:rsid w:val="00225977"/>
    <w:rsid w:val="002B7BCF"/>
    <w:rsid w:val="003836D7"/>
    <w:rsid w:val="006D34BA"/>
    <w:rsid w:val="00761476"/>
    <w:rsid w:val="008A4EA0"/>
    <w:rsid w:val="03BB3CCF"/>
    <w:rsid w:val="03DC20AC"/>
    <w:rsid w:val="0696406F"/>
    <w:rsid w:val="09BE25B6"/>
    <w:rsid w:val="0F735BF1"/>
    <w:rsid w:val="11B97F8C"/>
    <w:rsid w:val="12742F85"/>
    <w:rsid w:val="1C73618D"/>
    <w:rsid w:val="1CD6385B"/>
    <w:rsid w:val="25A034AF"/>
    <w:rsid w:val="25F969F8"/>
    <w:rsid w:val="270C55FC"/>
    <w:rsid w:val="296D3B0E"/>
    <w:rsid w:val="2AF91679"/>
    <w:rsid w:val="2CB573F1"/>
    <w:rsid w:val="2DED74DE"/>
    <w:rsid w:val="2E894691"/>
    <w:rsid w:val="31880C30"/>
    <w:rsid w:val="334345A5"/>
    <w:rsid w:val="36AB133B"/>
    <w:rsid w:val="37113475"/>
    <w:rsid w:val="393578EF"/>
    <w:rsid w:val="41CE2C59"/>
    <w:rsid w:val="42446DF5"/>
    <w:rsid w:val="4BB56FC2"/>
    <w:rsid w:val="4D73233C"/>
    <w:rsid w:val="4FD74A7E"/>
    <w:rsid w:val="51215CC4"/>
    <w:rsid w:val="52E62427"/>
    <w:rsid w:val="54D45DB6"/>
    <w:rsid w:val="571B240C"/>
    <w:rsid w:val="5FAD7930"/>
    <w:rsid w:val="65914863"/>
    <w:rsid w:val="689C5C0D"/>
    <w:rsid w:val="68BF2482"/>
    <w:rsid w:val="70495453"/>
    <w:rsid w:val="70D60698"/>
    <w:rsid w:val="713A123F"/>
    <w:rsid w:val="730D1DA3"/>
    <w:rsid w:val="761F3307"/>
    <w:rsid w:val="778E5E41"/>
    <w:rsid w:val="78365E5A"/>
    <w:rsid w:val="79032E73"/>
    <w:rsid w:val="7BAB33BE"/>
    <w:rsid w:val="7E54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customStyle="1" w:styleId="3">
    <w:name w:val="Default"/>
    <w:next w:val="1"/>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null3"/>
    <w:hidden/>
    <w:qFormat/>
    <w:uiPriority w:val="0"/>
    <w:rPr>
      <w:rFonts w:hint="eastAsia" w:asciiTheme="minorHAnsi" w:hAnsiTheme="minorHAnsi" w:eastAsiaTheme="minorEastAsia" w:cstheme="minorBidi"/>
      <w:lang w:val="en-US" w:eastAsia="zh-CN" w:bidi="ar-SA"/>
    </w:rPr>
  </w:style>
  <w:style w:type="paragraph" w:customStyle="1" w:styleId="10">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kern w:val="0"/>
      <w:sz w:val="2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685</Words>
  <Characters>3906</Characters>
  <Lines>32</Lines>
  <Paragraphs>9</Paragraphs>
  <TotalTime>26</TotalTime>
  <ScaleCrop>false</ScaleCrop>
  <LinksUpToDate>false</LinksUpToDate>
  <CharactersWithSpaces>4582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2022-11-25T02:24:00Z</dcterms:created>
  <dc:creator>A张先森</dc:creator>
  <cp:lastModifiedBy>cgzx</cp:lastModifiedBy>
  <cp:lastPrinted>2022-12-02T01:55:06Z</cp:lastPrinted>
  <dcterms:modified xsi:type="dcterms:W3CDTF">2022-12-02T01:57:17Z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13DFEA30825543788FAEB9C1814E09B4</vt:lpwstr>
  </property>
</Properties>
</file>