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15" w:lineRule="atLeast"/>
        <w:jc w:val="center"/>
        <w:rPr>
          <w:rFonts w:hint="eastAsia"/>
          <w:b/>
          <w:sz w:val="30"/>
          <w:szCs w:val="30"/>
          <w:lang w:eastAsia="zh-CN"/>
        </w:rPr>
      </w:pPr>
      <w:r>
        <w:rPr>
          <w:rFonts w:hint="eastAsia" w:ascii="微软雅黑" w:hAnsi="微软雅黑" w:eastAsia="微软雅黑" w:cs="微软雅黑"/>
          <w:kern w:val="0"/>
          <w:sz w:val="30"/>
          <w:szCs w:val="30"/>
          <w:u w:val="none"/>
          <w:lang w:val="en-US" w:eastAsia="zh-CN" w:bidi="ar"/>
        </w:rPr>
        <w:t>委托外部审计服务项目</w:t>
      </w:r>
      <w:r>
        <w:rPr>
          <w:rFonts w:hint="eastAsia"/>
          <w:b/>
          <w:sz w:val="30"/>
          <w:szCs w:val="30"/>
          <w:lang w:eastAsia="zh-CN"/>
        </w:rPr>
        <w:t>采购需求及评分标准</w:t>
      </w:r>
    </w:p>
    <w:p>
      <w:pPr>
        <w:rPr>
          <w:rFonts w:hint="eastAsia"/>
          <w:lang w:eastAsia="zh-CN"/>
        </w:rPr>
      </w:pPr>
    </w:p>
    <w:p>
      <w:pPr>
        <w:widowControl/>
        <w:numPr>
          <w:ilvl w:val="0"/>
          <w:numId w:val="0"/>
        </w:numPr>
        <w:shd w:val="clear" w:color="auto"/>
        <w:ind w:firstLine="480" w:firstLineChars="2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一、项目名称：</w:t>
      </w:r>
      <w:r>
        <w:rPr>
          <w:rFonts w:hint="eastAsia" w:ascii="微软雅黑" w:hAnsi="微软雅黑" w:eastAsia="微软雅黑" w:cs="微软雅黑"/>
          <w:kern w:val="0"/>
          <w:sz w:val="24"/>
          <w:szCs w:val="24"/>
          <w:u w:val="none"/>
          <w:lang w:val="en-US" w:eastAsia="zh-CN" w:bidi="ar"/>
        </w:rPr>
        <w:t>委托外部审计服务项目。</w:t>
      </w:r>
    </w:p>
    <w:p>
      <w:pPr>
        <w:widowControl/>
        <w:numPr>
          <w:ilvl w:val="0"/>
          <w:numId w:val="0"/>
        </w:numPr>
        <w:shd w:val="clear" w:color="auto"/>
        <w:ind w:firstLine="960" w:firstLineChars="4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项目内容</w:t>
      </w:r>
      <w:r>
        <w:rPr>
          <w:rFonts w:hint="eastAsia" w:ascii="微软雅黑" w:hAnsi="微软雅黑" w:eastAsia="微软雅黑" w:cs="微软雅黑"/>
          <w:i w:val="0"/>
          <w:caps w:val="0"/>
          <w:color w:val="383838"/>
          <w:spacing w:val="0"/>
          <w:sz w:val="24"/>
          <w:szCs w:val="24"/>
          <w:shd w:val="clear" w:fill="FFFFFF"/>
          <w:vertAlign w:val="baseline"/>
        </w:rPr>
        <w:t>：</w:t>
      </w:r>
      <w:r>
        <w:rPr>
          <w:rFonts w:hint="eastAsia" w:ascii="微软雅黑" w:hAnsi="微软雅黑" w:eastAsia="微软雅黑" w:cs="微软雅黑"/>
          <w:kern w:val="0"/>
          <w:sz w:val="24"/>
          <w:szCs w:val="24"/>
          <w:u w:val="none"/>
          <w:lang w:val="en-US" w:eastAsia="zh-CN" w:bidi="ar"/>
        </w:rPr>
        <w:t>大邑县人民医院2022年会计报表、财务收支与内部控制</w:t>
      </w:r>
    </w:p>
    <w:p>
      <w:pPr>
        <w:widowControl/>
        <w:numPr>
          <w:ilvl w:val="0"/>
          <w:numId w:val="0"/>
        </w:numPr>
        <w:shd w:val="clear" w:color="auto"/>
        <w:ind w:firstLine="480" w:firstLineChars="2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eastAsia="zh-CN"/>
        </w:rPr>
        <w:t>二、比选申请人</w:t>
      </w:r>
      <w:r>
        <w:rPr>
          <w:rFonts w:hint="eastAsia" w:ascii="微软雅黑" w:hAnsi="微软雅黑" w:eastAsia="微软雅黑" w:cs="微软雅黑"/>
          <w:i w:val="0"/>
          <w:caps w:val="0"/>
          <w:color w:val="383838"/>
          <w:spacing w:val="0"/>
          <w:sz w:val="24"/>
          <w:szCs w:val="24"/>
          <w:shd w:val="clear" w:fill="FFFFFF"/>
          <w:vertAlign w:val="baseline"/>
        </w:rPr>
        <w:t>资</w:t>
      </w:r>
      <w:r>
        <w:rPr>
          <w:rFonts w:hint="eastAsia" w:ascii="微软雅黑" w:hAnsi="微软雅黑" w:eastAsia="微软雅黑" w:cs="微软雅黑"/>
          <w:i w:val="0"/>
          <w:caps w:val="0"/>
          <w:color w:val="383838"/>
          <w:spacing w:val="0"/>
          <w:sz w:val="24"/>
          <w:szCs w:val="24"/>
          <w:shd w:val="clear" w:fill="FFFFFF"/>
          <w:vertAlign w:val="baseline"/>
          <w:lang w:eastAsia="zh-CN"/>
        </w:rPr>
        <w:t>质</w:t>
      </w:r>
      <w:r>
        <w:rPr>
          <w:rFonts w:hint="eastAsia" w:ascii="微软雅黑" w:hAnsi="微软雅黑" w:eastAsia="微软雅黑" w:cs="微软雅黑"/>
          <w:i w:val="0"/>
          <w:caps w:val="0"/>
          <w:color w:val="383838"/>
          <w:spacing w:val="0"/>
          <w:sz w:val="24"/>
          <w:szCs w:val="24"/>
          <w:shd w:val="clear" w:fill="FFFFFF"/>
          <w:vertAlign w:val="baseline"/>
        </w:rPr>
        <w:t>要求：</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1、具有独立承担民事责任的能力；</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2、具有良好的商业信誉和健全的财务会计制度；</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3、具有履行合同所必需的设备和专业技术能力；</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4、具有依法缴纳税收和社会保障资金的良好记录；</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5、单位及法定代表人，</w:t>
      </w:r>
      <w:r>
        <w:rPr>
          <w:rFonts w:hint="eastAsia" w:ascii="微软雅黑" w:hAnsi="微软雅黑" w:eastAsia="微软雅黑" w:cs="微软雅黑"/>
          <w:i w:val="0"/>
          <w:caps w:val="0"/>
          <w:color w:val="383838"/>
          <w:spacing w:val="0"/>
          <w:sz w:val="24"/>
          <w:szCs w:val="24"/>
          <w:shd w:val="clear" w:fill="FFFFFF"/>
          <w:vertAlign w:val="baseline"/>
        </w:rPr>
        <w:t>近三年内没有违法、违规行为记录</w:t>
      </w:r>
      <w:r>
        <w:rPr>
          <w:rFonts w:hint="eastAsia" w:ascii="微软雅黑" w:hAnsi="微软雅黑" w:eastAsia="微软雅黑" w:cs="微软雅黑"/>
          <w:i w:val="0"/>
          <w:caps w:val="0"/>
          <w:color w:val="383838"/>
          <w:spacing w:val="0"/>
          <w:sz w:val="24"/>
          <w:szCs w:val="24"/>
          <w:shd w:val="clear" w:fill="FFFFFF"/>
          <w:vertAlign w:val="baseline"/>
          <w:lang w:eastAsia="zh-CN"/>
        </w:rPr>
        <w:t>，</w:t>
      </w:r>
      <w:r>
        <w:rPr>
          <w:rFonts w:hint="eastAsia" w:ascii="微软雅黑" w:hAnsi="微软雅黑" w:eastAsia="微软雅黑" w:cs="微软雅黑"/>
          <w:i w:val="0"/>
          <w:caps w:val="0"/>
          <w:color w:val="383838"/>
          <w:spacing w:val="0"/>
          <w:sz w:val="24"/>
          <w:szCs w:val="24"/>
          <w:shd w:val="clear" w:fill="FFFFFF"/>
          <w:vertAlign w:val="baseline"/>
        </w:rPr>
        <w:t>在审计工作中没有出现重大审计质量问题和不良记录。</w:t>
      </w:r>
    </w:p>
    <w:p>
      <w:pPr>
        <w:widowControl/>
        <w:shd w:val="clear" w:color="auto"/>
        <w:ind w:firstLine="720" w:firstLineChars="3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6、法律、行政法规规定的其他条件。</w:t>
      </w:r>
    </w:p>
    <w:p>
      <w:pPr>
        <w:widowControl/>
        <w:shd w:val="clear" w:color="auto"/>
        <w:ind w:firstLine="801" w:firstLineChars="334"/>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7、本项目不接受联合体参加比选。</w:t>
      </w:r>
    </w:p>
    <w:p>
      <w:pPr>
        <w:pStyle w:val="2"/>
        <w:shd w:val="clear"/>
        <w:ind w:firstLine="480" w:firstLineChars="200"/>
        <w:rPr>
          <w:rFonts w:hint="eastAsia" w:ascii="微软雅黑" w:hAnsi="微软雅黑" w:eastAsia="微软雅黑" w:cs="微软雅黑"/>
          <w:i w:val="0"/>
          <w:caps w:val="0"/>
          <w:color w:val="383838"/>
          <w:spacing w:val="0"/>
          <w:sz w:val="24"/>
          <w:szCs w:val="24"/>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三、预算限价</w:t>
      </w:r>
      <w:r>
        <w:rPr>
          <w:rFonts w:hint="eastAsia" w:ascii="微软雅黑" w:hAnsi="微软雅黑" w:eastAsia="微软雅黑" w:cs="微软雅黑"/>
          <w:i w:val="0"/>
          <w:caps w:val="0"/>
          <w:color w:val="383838"/>
          <w:spacing w:val="0"/>
          <w:sz w:val="24"/>
          <w:szCs w:val="24"/>
          <w:shd w:val="clear" w:fill="FFFFFF"/>
          <w:vertAlign w:val="baseline"/>
        </w:rPr>
        <w:t>：</w:t>
      </w:r>
      <w:r>
        <w:rPr>
          <w:rFonts w:hint="eastAsia" w:ascii="微软雅黑" w:hAnsi="微软雅黑" w:eastAsia="微软雅黑" w:cs="微软雅黑"/>
          <w:i w:val="0"/>
          <w:caps w:val="0"/>
          <w:color w:val="383838"/>
          <w:spacing w:val="0"/>
          <w:sz w:val="24"/>
          <w:szCs w:val="24"/>
          <w:shd w:val="clear" w:fill="FFFFFF"/>
          <w:vertAlign w:val="baseline"/>
          <w:lang w:val="en-US" w:eastAsia="zh-CN"/>
        </w:rPr>
        <w:t>3万</w:t>
      </w:r>
      <w:r>
        <w:rPr>
          <w:rFonts w:hint="eastAsia" w:ascii="微软雅黑" w:hAnsi="微软雅黑" w:eastAsia="微软雅黑" w:cs="微软雅黑"/>
          <w:i w:val="0"/>
          <w:caps w:val="0"/>
          <w:color w:val="383838"/>
          <w:spacing w:val="0"/>
          <w:sz w:val="24"/>
          <w:szCs w:val="24"/>
          <w:shd w:val="clear" w:fill="FFFFFF"/>
          <w:vertAlign w:val="baseline"/>
        </w:rPr>
        <w:t>元</w:t>
      </w:r>
      <w:r>
        <w:rPr>
          <w:rFonts w:hint="eastAsia" w:ascii="微软雅黑" w:hAnsi="微软雅黑" w:eastAsia="微软雅黑" w:cs="微软雅黑"/>
          <w:i w:val="0"/>
          <w:caps w:val="0"/>
          <w:color w:val="383838"/>
          <w:spacing w:val="0"/>
          <w:sz w:val="24"/>
          <w:szCs w:val="24"/>
          <w:shd w:val="clear" w:fill="FFFFFF"/>
          <w:vertAlign w:val="baseline"/>
          <w:lang w:eastAsia="zh-CN"/>
        </w:rPr>
        <w:t>以内</w:t>
      </w:r>
    </w:p>
    <w:p>
      <w:pPr>
        <w:widowControl/>
        <w:shd w:val="clear" w:color="auto"/>
        <w:ind w:firstLine="480" w:firstLineChars="200"/>
        <w:jc w:val="left"/>
        <w:rPr>
          <w:rFonts w:hint="default"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四、比选</w:t>
      </w:r>
      <w:r>
        <w:rPr>
          <w:rFonts w:hint="eastAsia" w:ascii="微软雅黑" w:hAnsi="微软雅黑" w:eastAsia="微软雅黑" w:cs="微软雅黑"/>
          <w:i w:val="0"/>
          <w:caps w:val="0"/>
          <w:color w:val="383838"/>
          <w:spacing w:val="0"/>
          <w:sz w:val="24"/>
          <w:szCs w:val="24"/>
          <w:shd w:val="clear" w:fill="FFFFFF"/>
          <w:vertAlign w:val="baseline"/>
          <w:lang w:eastAsia="zh-CN"/>
        </w:rPr>
        <w:t>综合评分细则：</w:t>
      </w:r>
    </w:p>
    <w:p>
      <w:pPr>
        <w:widowControl/>
        <w:shd w:val="clear" w:color="auto"/>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1、经资格审查通过后的申请人，由评审小组按照以下的评审方法和标准对其提交的参选文件进行分析与比较。</w:t>
      </w:r>
    </w:p>
    <w:p>
      <w:pPr>
        <w:widowControl/>
        <w:shd w:val="clear" w:color="auto"/>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2、评委按照以下综合评分明细表的要求，对每个参选申请人提交文件的每项评分因素进行逐项评价、打分，然后汇总得分。</w:t>
      </w:r>
    </w:p>
    <w:p>
      <w:pPr>
        <w:keepNext w:val="0"/>
        <w:keepLines w:val="0"/>
        <w:pageBreakBefore w:val="0"/>
        <w:kinsoku/>
        <w:wordWrap/>
        <w:overflowPunct/>
        <w:topLinePunct w:val="0"/>
        <w:autoSpaceDE/>
        <w:autoSpaceDN/>
        <w:bidi w:val="0"/>
        <w:adjustRightInd/>
        <w:snapToGrid/>
        <w:spacing w:line="440" w:lineRule="exact"/>
        <w:ind w:firstLine="482"/>
        <w:jc w:val="left"/>
        <w:rPr>
          <w:rFonts w:hint="eastAsia" w:ascii="仿宋_GB2312" w:eastAsia="仿宋_GB2312"/>
          <w:sz w:val="24"/>
          <w:lang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3、将所有评委对参选申请人给出的总得分按由高到低顺序排列，排出前三名。得分相同的，按报价由低到高顺序排列。得分最高的作为本次中标人</w:t>
      </w:r>
      <w:r>
        <w:rPr>
          <w:rFonts w:hint="eastAsia" w:ascii="仿宋_GB2312" w:eastAsia="仿宋_GB2312"/>
          <w:sz w:val="24"/>
          <w:lang w:eastAsia="zh-CN"/>
        </w:rPr>
        <w:t>。</w:t>
      </w:r>
    </w:p>
    <w:tbl>
      <w:tblPr>
        <w:tblStyle w:val="8"/>
        <w:tblpPr w:leftFromText="180" w:rightFromText="180" w:vertAnchor="text" w:horzAnchor="page" w:tblpX="977" w:tblpY="458"/>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5"/>
        <w:gridCol w:w="1515"/>
        <w:gridCol w:w="870"/>
        <w:gridCol w:w="60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4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评分因素</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评分标准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35</w:t>
            </w:r>
            <w:r>
              <w:rPr>
                <w:rFonts w:hint="eastAsia" w:ascii="宋体" w:hAnsi="宋体" w:eastAsia="宋体" w:cs="宋体"/>
                <w:i w:val="0"/>
                <w:color w:val="000000"/>
                <w:kern w:val="0"/>
                <w:sz w:val="21"/>
                <w:szCs w:val="21"/>
                <w:u w:val="none"/>
                <w:lang w:val="en-US" w:eastAsia="zh-CN" w:bidi="ar"/>
              </w:rPr>
              <w:t>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以本次经评审最低有效报价为基准价，</w:t>
            </w:r>
          </w:p>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报价得分=（基准价/报价）×</w:t>
            </w:r>
            <w:r>
              <w:rPr>
                <w:rFonts w:hint="eastAsia" w:ascii="宋体" w:hAnsi="宋体" w:cs="宋体"/>
                <w:i w:val="0"/>
                <w:color w:val="000000"/>
                <w:kern w:val="0"/>
                <w:sz w:val="21"/>
                <w:szCs w:val="21"/>
                <w:u w:val="none"/>
                <w:lang w:val="en-US" w:eastAsia="zh-CN" w:bidi="ar"/>
              </w:rPr>
              <w:t>35</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0"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项目服务方案</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供应商针对本项目编制的服务方案：①内部管理制度；②防范和控制审计风险方案；③审计原则和依据；④审计实施的方法和步骤方案；⑤服务团队人员配置、分工及廉政要求；⑥审计时间安排。内容齐全的得24分，每有一项内容不完善或内容存在瑕疵的扣2分，本项扣完为止。每有一项有利于提升服务质量的加</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分，最多加6分。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18</w:t>
            </w:r>
            <w:r>
              <w:rPr>
                <w:rFonts w:hint="eastAsia" w:ascii="宋体" w:hAnsi="宋体" w:eastAsia="宋体" w:cs="宋体"/>
                <w:i w:val="0"/>
                <w:color w:val="000000"/>
                <w:kern w:val="0"/>
                <w:sz w:val="21"/>
                <w:szCs w:val="21"/>
                <w:u w:val="none"/>
                <w:lang w:val="en-US" w:eastAsia="zh-CN" w:bidi="ar"/>
              </w:rPr>
              <w:t>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服务团队</w:t>
            </w:r>
            <w:r>
              <w:rPr>
                <w:rFonts w:hint="eastAsia" w:ascii="宋体" w:hAnsi="宋体" w:eastAsia="宋体" w:cs="宋体"/>
                <w:i w:val="0"/>
                <w:color w:val="000000"/>
                <w:kern w:val="0"/>
                <w:sz w:val="21"/>
                <w:szCs w:val="21"/>
                <w:u w:val="none"/>
                <w:lang w:val="en-US" w:eastAsia="zh-CN" w:bidi="ar"/>
              </w:rPr>
              <w:t>每</w:t>
            </w:r>
            <w:r>
              <w:rPr>
                <w:rFonts w:hint="eastAsia" w:ascii="宋体" w:hAnsi="宋体" w:cs="宋体"/>
                <w:i w:val="0"/>
                <w:color w:val="000000"/>
                <w:kern w:val="0"/>
                <w:sz w:val="21"/>
                <w:szCs w:val="21"/>
                <w:u w:val="none"/>
                <w:lang w:val="en-US" w:eastAsia="zh-CN" w:bidi="ar"/>
              </w:rPr>
              <w:t>具备</w:t>
            </w:r>
            <w:r>
              <w:rPr>
                <w:rFonts w:hint="eastAsia" w:ascii="宋体" w:hAnsi="宋体" w:eastAsia="宋体" w:cs="宋体"/>
                <w:i w:val="0"/>
                <w:color w:val="000000"/>
                <w:kern w:val="0"/>
                <w:sz w:val="21"/>
                <w:szCs w:val="21"/>
                <w:u w:val="none"/>
                <w:lang w:val="en-US" w:eastAsia="zh-CN" w:bidi="ar"/>
              </w:rPr>
              <w:t>一个注册会计师资格的人员得</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分，本项最高得</w:t>
            </w:r>
            <w:r>
              <w:rPr>
                <w:rFonts w:hint="eastAsia" w:ascii="宋体" w:hAnsi="宋体" w:cs="宋体"/>
                <w:i w:val="0"/>
                <w:color w:val="000000"/>
                <w:kern w:val="0"/>
                <w:sz w:val="21"/>
                <w:szCs w:val="21"/>
                <w:u w:val="none"/>
                <w:lang w:val="en-US" w:eastAsia="zh-CN" w:bidi="ar"/>
              </w:rPr>
              <w:t>18</w:t>
            </w:r>
            <w:r>
              <w:rPr>
                <w:rFonts w:hint="eastAsia" w:ascii="宋体" w:hAnsi="宋体" w:eastAsia="宋体" w:cs="宋体"/>
                <w:i w:val="0"/>
                <w:color w:val="000000"/>
                <w:kern w:val="0"/>
                <w:sz w:val="21"/>
                <w:szCs w:val="21"/>
                <w:u w:val="none"/>
                <w:lang w:val="en-US" w:eastAsia="zh-CN" w:bidi="ar"/>
              </w:rPr>
              <w:t>分。</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提供相关证明材料复印件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业绩</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年1月1日（含）以来，具有三家公立医疗单位审计业绩的，得</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分；在此基础上每增加一个单位业绩的加</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分，最多加</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提供合同或发票复印件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响应文件规范性</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响应文件制作规范，没有细微偏差情形的得</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分，有一项细微偏差扣0.5分，直至该项分值扣完为止。</w:t>
            </w:r>
          </w:p>
        </w:tc>
        <w:tc>
          <w:tcPr>
            <w:tcW w:w="12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widowControl/>
        <w:numPr>
          <w:ilvl w:val="0"/>
          <w:numId w:val="0"/>
        </w:numPr>
        <w:shd w:val="clear" w:color="auto"/>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_GB2312" w:hAnsi="仿宋_GB2312" w:eastAsia="仿宋_GB2312" w:cs="仿宋_GB2312"/>
          <w:color w:val="000000"/>
          <w:sz w:val="28"/>
          <w:szCs w:val="28"/>
          <w:lang w:val="en-US" w:eastAsia="zh-CN"/>
        </w:rPr>
      </w:pPr>
      <w:bookmarkStart w:id="0" w:name="_Toc25144328"/>
      <w:bookmarkStart w:id="1" w:name="_Toc29804979"/>
      <w:bookmarkStart w:id="2" w:name="_Toc25144212"/>
      <w:bookmarkStart w:id="3" w:name="_Toc31089"/>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bookmarkEnd w:id="0"/>
      <w:bookmarkEnd w:id="1"/>
      <w:bookmarkEnd w:id="2"/>
      <w:bookmarkEnd w:id="3"/>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_GB2312" w:hAnsi="仿宋_GB2312" w:eastAsia="仿宋_GB2312" w:cs="仿宋_GB2312"/>
          <w:color w:val="000000"/>
          <w:sz w:val="28"/>
          <w:szCs w:val="28"/>
          <w:lang w:val="en-US" w:eastAsia="zh-CN"/>
        </w:rPr>
      </w:pPr>
    </w:p>
    <w:p>
      <w:bookmarkStart w:id="4" w:name="_GoBack"/>
      <w:bookmarkEnd w:id="4"/>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0" w:firstLineChars="2000"/>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05205"/>
    <w:rsid w:val="1A76375C"/>
    <w:rsid w:val="20D57C04"/>
    <w:rsid w:val="304E0F0B"/>
    <w:rsid w:val="47251659"/>
    <w:rsid w:val="486C3BCB"/>
    <w:rsid w:val="53ED33BE"/>
    <w:rsid w:val="67EB255C"/>
    <w:rsid w:val="79BD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Pr>
      <w:rFonts w:hint="eastAsia" w:ascii="宋体" w:hAnsi="宋体" w:eastAsia="宋体" w:cs="宋体"/>
      <w:kern w:val="44"/>
      <w:sz w:val="39"/>
      <w:szCs w:val="39"/>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exact"/>
    </w:pPr>
    <w:rPr>
      <w:rFonts w:ascii="仿宋_GB2312" w:eastAsia="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目录"/>
    <w:basedOn w:val="1"/>
    <w:qFormat/>
    <w:uiPriority w:val="0"/>
    <w:pPr>
      <w:widowControl/>
      <w:spacing w:line="240" w:lineRule="auto"/>
      <w:ind w:firstLine="0" w:firstLineChars="0"/>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dc:creator>
  <cp:lastModifiedBy>cgzx</cp:lastModifiedBy>
  <cp:lastPrinted>2023-03-16T03:42:06Z</cp:lastPrinted>
  <dcterms:modified xsi:type="dcterms:W3CDTF">2023-03-16T03:43:35Z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