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血气分析仪技术参数</w:t>
      </w:r>
      <w:bookmarkStart w:id="0" w:name="_GoBack"/>
      <w:bookmarkEnd w:id="0"/>
    </w:p>
    <w:p>
      <w:pPr>
        <w:spacing w:line="500" w:lineRule="exact"/>
        <w:ind w:left="-2" w:leftChars="-1" w:firstLine="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一、检测项目：</w:t>
      </w:r>
    </w:p>
    <w:p>
      <w:pPr>
        <w:spacing w:line="500" w:lineRule="exact"/>
        <w:ind w:left="-2" w:leftChars="-1" w:firstLine="1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PH   pCO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pO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subscript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Hct   Na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superscript"/>
        </w:rPr>
        <w:t>+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K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superscript"/>
        </w:rPr>
        <w:t>+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Ca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superscript"/>
        </w:rPr>
        <w:t xml:space="preserve">++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Glu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Lac</w:t>
      </w:r>
    </w:p>
    <w:p>
      <w:pPr>
        <w:spacing w:line="50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一次检测即可出上述九项实测值，无需另加试剂片或模块。</w:t>
      </w:r>
    </w:p>
    <w:p>
      <w:pPr>
        <w:spacing w:line="500" w:lineRule="exact"/>
        <w:ind w:left="1370" w:hanging="1827" w:hangingChars="6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计算参数：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Ca++(7.4)、HCO3_、HCO3std、TCO2、BEecf、BE(B)、SO2c、THbc、O2ct、O2cap、A-aDO2、pAO2、paO2/pAO2、RI、CaO2、CvO2、CcO2、a-vDO2、Qsp/Qt、Qsp/Qt【est】、P50；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四、样本类型:</w:t>
      </w:r>
      <w:r>
        <w:rPr>
          <w:rFonts w:hint="eastAsia" w:ascii="仿宋" w:hAnsi="仿宋" w:eastAsia="仿宋" w:cs="仿宋"/>
          <w:sz w:val="28"/>
          <w:szCs w:val="28"/>
        </w:rPr>
        <w:t xml:space="preserve"> （ 动脉血\ 静脉血\末梢血）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五、标本量: </w:t>
      </w:r>
      <w:r>
        <w:rPr>
          <w:rFonts w:hint="eastAsia" w:ascii="仿宋" w:hAnsi="仿宋" w:eastAsia="仿宋" w:cs="仿宋"/>
          <w:bCs/>
          <w:sz w:val="28"/>
          <w:szCs w:val="28"/>
        </w:rPr>
        <w:t>小于等于150ul.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 、</w:t>
      </w:r>
      <w:r>
        <w:rPr>
          <w:rFonts w:hint="eastAsia" w:ascii="仿宋" w:hAnsi="仿宋" w:eastAsia="仿宋" w:cs="仿宋"/>
          <w:bCs/>
          <w:sz w:val="28"/>
          <w:szCs w:val="28"/>
        </w:rPr>
        <w:t>一体化抛弃型分析试剂包（包含电极,管路,进样针,试剂及定标等在试剂包内）。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七、操作界面: </w:t>
      </w:r>
      <w:r>
        <w:rPr>
          <w:rFonts w:hint="eastAsia" w:ascii="仿宋" w:hAnsi="仿宋" w:eastAsia="仿宋" w:cs="仿宋"/>
          <w:sz w:val="28"/>
          <w:szCs w:val="28"/>
        </w:rPr>
        <w:t>彩色中文触摸屏界面。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八、测量范围：</w:t>
      </w:r>
    </w:p>
    <w:p>
      <w:pPr>
        <w:spacing w:line="500" w:lineRule="exact"/>
        <w:ind w:left="-44" w:leftChars="-2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九、</w:t>
      </w:r>
      <w:r>
        <w:rPr>
          <w:rFonts w:hint="eastAsia" w:ascii="仿宋" w:hAnsi="仿宋" w:eastAsia="仿宋" w:cs="仿宋"/>
          <w:bCs/>
          <w:sz w:val="28"/>
          <w:szCs w:val="28"/>
        </w:rPr>
        <w:t>智能连续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实时室内质控（IQM）；主动纠错；并自动生成质控图,无需另购外部质控品。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十、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自动单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双点定标。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十一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、 </w:t>
      </w:r>
      <w:r>
        <w:rPr>
          <w:rFonts w:hint="eastAsia" w:ascii="仿宋" w:hAnsi="仿宋" w:eastAsia="仿宋" w:cs="仿宋"/>
          <w:bCs/>
          <w:sz w:val="28"/>
          <w:szCs w:val="28"/>
        </w:rPr>
        <w:t>75人份/包-600人份/包多规格试剂包，适应大小不同医院的需求。</w:t>
      </w:r>
    </w:p>
    <w:p>
      <w:pPr>
        <w:spacing w:line="50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十二、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主机无管路及进样针，电极卡，最大限度减少堵孔等仪器故障，及保证生物安全。</w:t>
      </w:r>
    </w:p>
    <w:p>
      <w:pPr>
        <w:spacing w:line="50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十三、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可进行大气压修正。</w:t>
      </w:r>
    </w:p>
    <w:p>
      <w:pPr>
        <w:spacing w:line="50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十四、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出报告时间：85秒。</w:t>
      </w:r>
    </w:p>
    <w:p>
      <w:pPr>
        <w:spacing w:line="50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十五、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电源90-264V  50-60HZ，有断电保护功能。</w:t>
      </w:r>
    </w:p>
    <w:p>
      <w:pPr>
        <w:spacing w:line="50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十六、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无需附加设备，能与医院的LIS和HIS连接.</w:t>
      </w:r>
    </w:p>
    <w:p>
      <w:pPr>
        <w:spacing w:line="500" w:lineRule="exact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十七、商务要求：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设备质保期≥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5年。</w:t>
      </w:r>
    </w:p>
    <w:p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2、设备连接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LIS和HIS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接口费用由中标供应商承担。</w:t>
      </w:r>
    </w:p>
    <w:p>
      <w:pPr>
        <w:pStyle w:val="5"/>
        <w:numPr>
          <w:ilvl w:val="0"/>
          <w:numId w:val="0"/>
        </w:numPr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3、投标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设备需与医院现用试剂匹配（沃芬血气测定试剂盒）。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3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十八、评分标准</w:t>
      </w:r>
    </w:p>
    <w:tbl>
      <w:tblPr>
        <w:tblStyle w:val="10"/>
        <w:tblW w:w="88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5"/>
        <w:gridCol w:w="1260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分，不能满足的不得分。（涉及有配套试剂或耗材的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必须在四川省药械集中采购及医药价格监管平台挂网产品，否则一票否决）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5426F93"/>
    <w:rsid w:val="05C272BE"/>
    <w:rsid w:val="067B3EEB"/>
    <w:rsid w:val="0806109A"/>
    <w:rsid w:val="08447783"/>
    <w:rsid w:val="08AB33F6"/>
    <w:rsid w:val="09E06D4D"/>
    <w:rsid w:val="0BE87F0A"/>
    <w:rsid w:val="0C115A52"/>
    <w:rsid w:val="0C7403D8"/>
    <w:rsid w:val="0F4E7772"/>
    <w:rsid w:val="115359B7"/>
    <w:rsid w:val="139A6D8A"/>
    <w:rsid w:val="13CD4F69"/>
    <w:rsid w:val="175A2CB2"/>
    <w:rsid w:val="19286081"/>
    <w:rsid w:val="1A145DD9"/>
    <w:rsid w:val="1B0D6044"/>
    <w:rsid w:val="1BD22B41"/>
    <w:rsid w:val="1CF16A3E"/>
    <w:rsid w:val="1D2710FA"/>
    <w:rsid w:val="1D9742D1"/>
    <w:rsid w:val="1E4D2491"/>
    <w:rsid w:val="1F0609F0"/>
    <w:rsid w:val="1F8E1A80"/>
    <w:rsid w:val="1FAD22D2"/>
    <w:rsid w:val="20B04334"/>
    <w:rsid w:val="24822F08"/>
    <w:rsid w:val="25097520"/>
    <w:rsid w:val="25944C96"/>
    <w:rsid w:val="289A6C52"/>
    <w:rsid w:val="2A281D7E"/>
    <w:rsid w:val="2CDC5DF6"/>
    <w:rsid w:val="2D662A1C"/>
    <w:rsid w:val="2DB71C8A"/>
    <w:rsid w:val="2DF20F83"/>
    <w:rsid w:val="2F153EC2"/>
    <w:rsid w:val="2F283B83"/>
    <w:rsid w:val="33257F53"/>
    <w:rsid w:val="33BC31D9"/>
    <w:rsid w:val="33EE551B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B21EA0"/>
    <w:rsid w:val="47EE4A07"/>
    <w:rsid w:val="48DF5CB3"/>
    <w:rsid w:val="493938F1"/>
    <w:rsid w:val="49AC18DF"/>
    <w:rsid w:val="4B9B14BB"/>
    <w:rsid w:val="4DFC4472"/>
    <w:rsid w:val="4F210ED3"/>
    <w:rsid w:val="4F6E1C51"/>
    <w:rsid w:val="50601DDF"/>
    <w:rsid w:val="50B372ED"/>
    <w:rsid w:val="5256357F"/>
    <w:rsid w:val="52A80C1A"/>
    <w:rsid w:val="52F567A1"/>
    <w:rsid w:val="53E900E4"/>
    <w:rsid w:val="53EA5C5F"/>
    <w:rsid w:val="544229CE"/>
    <w:rsid w:val="546348E9"/>
    <w:rsid w:val="5AEE14E8"/>
    <w:rsid w:val="5B4D09AB"/>
    <w:rsid w:val="5CB11808"/>
    <w:rsid w:val="5DA47764"/>
    <w:rsid w:val="5EAE4D62"/>
    <w:rsid w:val="5EBF570D"/>
    <w:rsid w:val="5FA24A81"/>
    <w:rsid w:val="60952643"/>
    <w:rsid w:val="60B9416B"/>
    <w:rsid w:val="63AC63BC"/>
    <w:rsid w:val="648A08FD"/>
    <w:rsid w:val="66A21E50"/>
    <w:rsid w:val="67014E5E"/>
    <w:rsid w:val="67885F56"/>
    <w:rsid w:val="68726F21"/>
    <w:rsid w:val="69BF0E4A"/>
    <w:rsid w:val="69BF55E7"/>
    <w:rsid w:val="6AB239B6"/>
    <w:rsid w:val="6ACB3CF0"/>
    <w:rsid w:val="6BA676C1"/>
    <w:rsid w:val="6CA1434C"/>
    <w:rsid w:val="6F975B7B"/>
    <w:rsid w:val="702F58A0"/>
    <w:rsid w:val="705D78A5"/>
    <w:rsid w:val="718C4C3B"/>
    <w:rsid w:val="76C44859"/>
    <w:rsid w:val="772217E9"/>
    <w:rsid w:val="77805375"/>
    <w:rsid w:val="78136D6C"/>
    <w:rsid w:val="7A060EF5"/>
    <w:rsid w:val="7B646867"/>
    <w:rsid w:val="7D0527D9"/>
    <w:rsid w:val="7E1F4D94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6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9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_Style 3"/>
    <w:qFormat/>
    <w:uiPriority w:val="33"/>
    <w:rPr>
      <w:b/>
      <w:bCs/>
      <w:smallCaps/>
      <w:spacing w:val="5"/>
    </w:rPr>
  </w:style>
  <w:style w:type="paragraph" w:customStyle="1" w:styleId="22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4">
    <w:name w:val="NormalCharacter"/>
    <w:semiHidden/>
    <w:qFormat/>
    <w:uiPriority w:val="0"/>
  </w:style>
  <w:style w:type="paragraph" w:customStyle="1" w:styleId="25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8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2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cp:lastPrinted>2023-04-20T00:57:41Z</cp:lastPrinted>
  <dcterms:modified xsi:type="dcterms:W3CDTF">2023-04-20T01:00:20Z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