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3</w:t>
      </w:r>
    </w:p>
    <w:p>
      <w:pPr>
        <w:widowControl/>
        <w:spacing w:before="75" w:after="75" w:line="500" w:lineRule="exact"/>
        <w:ind w:left="301" w:hanging="281" w:hangingChars="1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医用洁净工作台（垂直层流） 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1、技术要求：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 外部尺寸: ≥1060mm×620mm×1850mm；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1.2 内部尺寸: ≥935mm ×530mm×650mm；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1.3 过滤器尺寸：≥900mm×450mm×69mm；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1.4 额定功率：≥650 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1.5 气流流速：0.30～0.45m/s；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1.6 紫外灯功率：≥20W；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1.7 LED日光灯功率：≥12W；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1.8 前窗玻璃最大开口高度：≥400mm；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1.9 前窗玻璃开口安全操作高度：200-350mm；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1.10 噪音≤65dB(A)；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1.11 风机转速: ≥2460 RPM，流量：≥750 m³/h，功率≥90W；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1.12 产品安全性：菌落数≤0.5CFU/30min；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1.13 照明：≥300lx；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1.14 毛重：≤185KG；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1.15 木包装外尺寸：≤1240mm ×900mm×1350mm；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1.16 洁净等级：ISO5级（ISO Class5），100级（美联邦209E）Class100（Fed 209E）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2、结构要求：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 洁净台分类：垂直层流、单面操作；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2.2 过滤效率:过滤器均采用无隔板高效过滤器，对直径0.3μm颗粒过滤效率为99.995%；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2.3 具有预过滤器，能够有效拦截大的颗粒物及杂质，有效延长高效过滤器的使用寿命；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2.4 工作区台面选用优质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8"/>
          <w:szCs w:val="28"/>
        </w:rPr>
        <w:t>304不锈钢材质，美观、易清理、耐腐蚀；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2.5 箱体采用优质冷轧钢板静电喷涂，美观、稳定性好；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2.6 控制面板采用轻触式开关，按键由风机键、照明键、紫外键、电源键、插座键、风量减小键、风量增大键组成，易于操作；显示屏显示内容有：风机的风速、显示时间、紫外灯的工作时间、过滤器的工作时间；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2.7 洁净台前视窗是采用5mm厚钢化玻璃的手动视窗，玻璃门-配重结构，上下开启灵活方便，行程范围内任意高度悬停；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2.8 紫外灯与风机、日光灯互锁功能，即当风机、日光灯工作时，紫外灯无法开启，保护操作人员；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2.9 具有紫外灯、风机预约定时功能；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2.10 具有压力单位转换功能，</w:t>
      </w:r>
      <w:r>
        <w:rPr>
          <w:rFonts w:hint="eastAsia" w:ascii="仿宋" w:hAnsi="仿宋" w:eastAsia="仿宋" w:cs="仿宋"/>
          <w:sz w:val="28"/>
          <w:szCs w:val="28"/>
        </w:rPr>
        <w:t>进行PA和m/s之间的单位切换；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2.11 紫外灯延时5S开启，保护操作人员安全；</w:t>
      </w:r>
    </w:p>
    <w:p>
      <w:pPr>
        <w:widowControl/>
        <w:spacing w:before="75" w:after="75" w:line="276" w:lineRule="auto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2.12 完善的报警系统：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（1）设置前窗开口安全高度，在低于或高于安全高度时报警，保证设备使用时性能稳定；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（2）过滤器压力超高报警：当过滤器的阻力变大时报警；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（3）过滤器失效更换报警：当过滤器寿命使用到期后，会有过滤器更换报警；</w:t>
      </w:r>
    </w:p>
    <w:p>
      <w:pPr>
        <w:widowControl/>
        <w:spacing w:before="75" w:after="75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（4）风速报警：当洁净台的气流波动低于标称值的20%时报警；</w:t>
      </w:r>
    </w:p>
    <w:p>
      <w:pPr>
        <w:widowControl/>
        <w:spacing w:before="75" w:after="75"/>
        <w:ind w:firstLine="280" w:firstLineChars="1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2.13 福马脚轮设计，方便柜体移动与固定。</w:t>
      </w:r>
    </w:p>
    <w:p>
      <w:pPr>
        <w:spacing w:line="500" w:lineRule="exact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商务要求：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设备质保期≥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1年（易耗品除外）。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4、评分标准</w:t>
      </w:r>
    </w:p>
    <w:tbl>
      <w:tblPr>
        <w:tblStyle w:val="10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分，不能满足的不得分。（涉及有配套试剂或耗材的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必须在四川省药械集中采购及医药价格监管平台挂网产品，否则一票否决）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9E06D4D"/>
    <w:rsid w:val="0BE87F0A"/>
    <w:rsid w:val="0C115A52"/>
    <w:rsid w:val="0C7403D8"/>
    <w:rsid w:val="0F4E7772"/>
    <w:rsid w:val="115359B7"/>
    <w:rsid w:val="139A6D8A"/>
    <w:rsid w:val="175A2CB2"/>
    <w:rsid w:val="19286081"/>
    <w:rsid w:val="1A145DD9"/>
    <w:rsid w:val="1B0D6044"/>
    <w:rsid w:val="1BD22B41"/>
    <w:rsid w:val="1CF16A3E"/>
    <w:rsid w:val="1D1856EB"/>
    <w:rsid w:val="1D2710FA"/>
    <w:rsid w:val="1D9742D1"/>
    <w:rsid w:val="1E4D2491"/>
    <w:rsid w:val="1F0609F0"/>
    <w:rsid w:val="1F8E1A80"/>
    <w:rsid w:val="1FAD22D2"/>
    <w:rsid w:val="20B04334"/>
    <w:rsid w:val="24822F08"/>
    <w:rsid w:val="25097520"/>
    <w:rsid w:val="25944C96"/>
    <w:rsid w:val="289A6C52"/>
    <w:rsid w:val="2A281D7E"/>
    <w:rsid w:val="2CDC5DF6"/>
    <w:rsid w:val="2D662A1C"/>
    <w:rsid w:val="2DB71C8A"/>
    <w:rsid w:val="2DF20F83"/>
    <w:rsid w:val="2F153EC2"/>
    <w:rsid w:val="2F283B83"/>
    <w:rsid w:val="315D533C"/>
    <w:rsid w:val="33257F53"/>
    <w:rsid w:val="33BC31D9"/>
    <w:rsid w:val="33EE551B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DFC4472"/>
    <w:rsid w:val="4F210ED3"/>
    <w:rsid w:val="4F6E1C51"/>
    <w:rsid w:val="50601DDF"/>
    <w:rsid w:val="50B372ED"/>
    <w:rsid w:val="5256357F"/>
    <w:rsid w:val="52A80C1A"/>
    <w:rsid w:val="52F567A1"/>
    <w:rsid w:val="53E900E4"/>
    <w:rsid w:val="53EA5C5F"/>
    <w:rsid w:val="54256F5E"/>
    <w:rsid w:val="544229CE"/>
    <w:rsid w:val="546348E9"/>
    <w:rsid w:val="5AEE14E8"/>
    <w:rsid w:val="5B4D09AB"/>
    <w:rsid w:val="5CB11808"/>
    <w:rsid w:val="5DA47764"/>
    <w:rsid w:val="5EAE4D62"/>
    <w:rsid w:val="5EBF570D"/>
    <w:rsid w:val="5FA24A81"/>
    <w:rsid w:val="5FBA3895"/>
    <w:rsid w:val="60952643"/>
    <w:rsid w:val="60B9416B"/>
    <w:rsid w:val="61A9130D"/>
    <w:rsid w:val="63AC63BC"/>
    <w:rsid w:val="648A08FD"/>
    <w:rsid w:val="66A21E50"/>
    <w:rsid w:val="67014E5E"/>
    <w:rsid w:val="67885F56"/>
    <w:rsid w:val="68726F21"/>
    <w:rsid w:val="69BF0E4A"/>
    <w:rsid w:val="69BF55E7"/>
    <w:rsid w:val="6A3C4B51"/>
    <w:rsid w:val="6AB239B6"/>
    <w:rsid w:val="6ACB3CF0"/>
    <w:rsid w:val="6BA676C1"/>
    <w:rsid w:val="6CA1434C"/>
    <w:rsid w:val="6EDC09D7"/>
    <w:rsid w:val="6F975B7B"/>
    <w:rsid w:val="702F58A0"/>
    <w:rsid w:val="705D78A5"/>
    <w:rsid w:val="718C4C3B"/>
    <w:rsid w:val="74E97C91"/>
    <w:rsid w:val="76C44859"/>
    <w:rsid w:val="772217E9"/>
    <w:rsid w:val="77805375"/>
    <w:rsid w:val="78136D6C"/>
    <w:rsid w:val="7A060EF5"/>
    <w:rsid w:val="7B646867"/>
    <w:rsid w:val="7D0527D9"/>
    <w:rsid w:val="7E1F4D94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_Style 3"/>
    <w:qFormat/>
    <w:uiPriority w:val="33"/>
    <w:rPr>
      <w:b/>
      <w:bCs/>
      <w:smallCaps/>
      <w:spacing w:val="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cp:lastPrinted>2023-04-20T00:59:47Z</cp:lastPrinted>
  <dcterms:modified xsi:type="dcterms:W3CDTF">2023-04-20T01:00:17Z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