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400" w:lineRule="exact"/>
        <w:rPr>
          <w:rFonts w:hint="eastAsia" w:ascii="宋体"/>
          <w:b/>
          <w:color w:val="auto"/>
          <w:sz w:val="24"/>
          <w:shd w:val="clear" w:color="auto" w:fill="auto"/>
        </w:rPr>
      </w:pPr>
      <w:bookmarkStart w:id="0" w:name="_Toc183682369"/>
      <w:bookmarkStart w:id="1" w:name="_Toc101174146"/>
      <w:bookmarkStart w:id="2" w:name="_Toc430773924"/>
      <w:bookmarkStart w:id="3" w:name="_Toc209847065"/>
      <w:bookmarkStart w:id="4" w:name="_Toc101338358"/>
      <w:bookmarkStart w:id="5" w:name="_Toc217446057"/>
      <w:bookmarkStart w:id="6" w:name="_Toc101250640"/>
      <w:bookmarkStart w:id="7" w:name="_Toc183582232"/>
      <w:r>
        <w:rPr>
          <w:rFonts w:hint="eastAsia" w:ascii="宋体"/>
          <w:b/>
          <w:color w:val="auto"/>
          <w:sz w:val="24"/>
          <w:shd w:val="clear" w:color="auto" w:fill="auto"/>
        </w:rPr>
        <w:t>综合评分</w:t>
      </w:r>
    </w:p>
    <w:tbl>
      <w:tblPr>
        <w:tblStyle w:val="7"/>
        <w:tblW w:w="10004" w:type="dxa"/>
        <w:tblInd w:w="-7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300"/>
        <w:gridCol w:w="790"/>
        <w:gridCol w:w="1429"/>
        <w:gridCol w:w="4187"/>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1</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报价</w:t>
            </w:r>
            <w:r>
              <w:rPr>
                <w:rFonts w:hint="eastAsia" w:hAnsi="宋体" w:cs="Times New Roman"/>
                <w:color w:val="000000"/>
                <w:sz w:val="24"/>
                <w:lang w:val="en-US" w:eastAsia="zh-CN"/>
              </w:rPr>
              <w:t>50</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50分</w:t>
            </w:r>
          </w:p>
        </w:tc>
        <w:tc>
          <w:tcPr>
            <w:tcW w:w="5616" w:type="dxa"/>
            <w:gridSpan w:val="2"/>
            <w:noWrap w:val="0"/>
            <w:vAlign w:val="center"/>
          </w:tcPr>
          <w:p>
            <w:pPr>
              <w:spacing w:before="159" w:beforeLines="50" w:after="159" w:afterLines="50" w:line="360" w:lineRule="auto"/>
              <w:ind w:firstLine="480" w:firstLineChars="200"/>
              <w:jc w:val="both"/>
              <w:outlineLvl w:val="1"/>
              <w:rPr>
                <w:rFonts w:hAnsi="宋体" w:cs="宋体"/>
                <w:color w:val="000000"/>
                <w:szCs w:val="21"/>
              </w:rPr>
            </w:pPr>
            <w:r>
              <w:rPr>
                <w:rFonts w:hint="eastAsia" w:hAnsi="宋体" w:cs="Times New Roman"/>
                <w:color w:val="000000"/>
                <w:sz w:val="24"/>
              </w:rPr>
              <w:t>以本次有效的</w:t>
            </w:r>
            <w:r>
              <w:rPr>
                <w:rFonts w:hint="eastAsia" w:hAnsi="宋体" w:cs="Times New Roman"/>
                <w:color w:val="000000"/>
                <w:sz w:val="24"/>
                <w:lang w:eastAsia="zh-CN"/>
              </w:rPr>
              <w:t>最后</w:t>
            </w:r>
            <w:r>
              <w:rPr>
                <w:rFonts w:hint="eastAsia" w:hAnsi="宋体" w:cs="Times New Roman"/>
                <w:color w:val="000000"/>
                <w:sz w:val="24"/>
              </w:rPr>
              <w:t>最低磋商报价为基准价，磋商报价得分=(磋商基准价／磋商报价)*价格权值*100。</w:t>
            </w:r>
          </w:p>
        </w:tc>
        <w:tc>
          <w:tcPr>
            <w:tcW w:w="1829" w:type="dxa"/>
            <w:noWrap w:val="0"/>
            <w:vAlign w:val="center"/>
          </w:tcPr>
          <w:p>
            <w:pPr>
              <w:spacing w:before="159" w:beforeLines="50" w:after="159" w:afterLines="50" w:line="360" w:lineRule="auto"/>
              <w:jc w:val="both"/>
              <w:outlineLvl w:val="1"/>
              <w:rPr>
                <w:rFonts w:hAnsi="宋体" w:cs="宋体"/>
                <w:color w:val="000000"/>
                <w:szCs w:val="21"/>
              </w:rPr>
            </w:pPr>
            <w:r>
              <w:rPr>
                <w:rFonts w:hint="eastAsia" w:hAnsi="宋体" w:cs="Times New Roman"/>
                <w:color w:val="000000"/>
                <w:sz w:val="24"/>
              </w:rPr>
              <w:t>经济类评审因素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restart"/>
            <w:noWrap w:val="0"/>
            <w:vAlign w:val="center"/>
          </w:tcPr>
          <w:p>
            <w:pPr>
              <w:spacing w:before="159" w:beforeLines="50" w:after="159" w:afterLines="50" w:line="360" w:lineRule="auto"/>
              <w:jc w:val="both"/>
              <w:outlineLvl w:val="1"/>
              <w:rPr>
                <w:rFonts w:hint="eastAsia" w:hAnsi="宋体" w:eastAsia="宋体" w:cs="Times New Roman"/>
                <w:color w:val="000000"/>
                <w:sz w:val="24"/>
                <w:lang w:eastAsia="zh-CN"/>
              </w:rPr>
            </w:pPr>
            <w:r>
              <w:rPr>
                <w:rFonts w:hint="eastAsia" w:hAnsi="宋体" w:cs="Times New Roman"/>
                <w:color w:val="000000"/>
                <w:sz w:val="24"/>
                <w:lang w:val="en-US" w:eastAsia="zh-CN"/>
              </w:rPr>
              <w:t>2</w:t>
            </w:r>
          </w:p>
        </w:tc>
        <w:tc>
          <w:tcPr>
            <w:tcW w:w="1300"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实施方案</w:t>
            </w:r>
            <w:r>
              <w:rPr>
                <w:rFonts w:hint="eastAsia" w:hAnsi="宋体" w:cs="Times New Roman"/>
                <w:color w:val="000000"/>
                <w:sz w:val="24"/>
                <w:lang w:val="en-US" w:eastAsia="zh-CN"/>
              </w:rPr>
              <w:t>40</w:t>
            </w:r>
            <w:r>
              <w:rPr>
                <w:rFonts w:hint="eastAsia" w:hAnsi="宋体" w:cs="Times New Roman"/>
                <w:color w:val="000000"/>
                <w:sz w:val="24"/>
              </w:rPr>
              <w:t>%</w:t>
            </w:r>
          </w:p>
        </w:tc>
        <w:tc>
          <w:tcPr>
            <w:tcW w:w="790"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40</w:t>
            </w:r>
            <w:r>
              <w:rPr>
                <w:rFonts w:hint="eastAsia" w:hAnsi="宋体" w:cs="Times New Roman"/>
                <w:color w:val="000000"/>
                <w:sz w:val="24"/>
              </w:rPr>
              <w:t>分</w:t>
            </w: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施工方案与技术措施(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项目实施地的具体情况，供应商对本项目的①背景、需求理解到位，②提供的施工方案详细全面,③技术措施满足项目需求有针对性，④技术措施须保证工程质量、满足国家现行《工程施工质量验收规范》合格标准</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restart"/>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质量管理体系与措施(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供应商①有健全的质量保证体系，②保证措施对质量目标及质量控制有针对性，③有严谨的质量管理制度，④有严谨的质量检查制度</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安全管理体系与措施(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根据供应商提供的施工安全保障，确保安全生产的技术措施详细：①有安全生产管理目标，②安全管理制度，③安全技术措施，④安全应急救援预案</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环境保护管理体系与措施(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供应商须针对本项目有详细的环境保护措施方案及健全的环境保护体系，对</w:t>
            </w:r>
            <w:r>
              <w:rPr>
                <w:rFonts w:hint="eastAsia" w:hAnsi="宋体" w:cs="Times New Roman"/>
                <w:color w:val="000000"/>
                <w:sz w:val="24"/>
                <w:lang w:eastAsia="zh-CN"/>
              </w:rPr>
              <w:t>建渣</w:t>
            </w:r>
            <w:r>
              <w:rPr>
                <w:rFonts w:hint="eastAsia" w:hAnsi="宋体" w:cs="Times New Roman"/>
                <w:color w:val="000000"/>
                <w:sz w:val="24"/>
              </w:rPr>
              <w:t>处置、噪音控制、环境整治等都有详细的措施方案，技术措施</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46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30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790"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c>
          <w:tcPr>
            <w:tcW w:w="14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工程进度计划与措施(</w:t>
            </w:r>
            <w:r>
              <w:rPr>
                <w:rFonts w:hint="eastAsia" w:hAnsi="宋体" w:cs="Times New Roman"/>
                <w:color w:val="000000"/>
                <w:sz w:val="24"/>
                <w:lang w:val="en-US" w:eastAsia="zh-CN"/>
              </w:rPr>
              <w:t>8</w:t>
            </w:r>
            <w:r>
              <w:rPr>
                <w:rFonts w:hint="eastAsia" w:hAnsi="宋体" w:cs="Times New Roman"/>
                <w:color w:val="000000"/>
                <w:sz w:val="24"/>
              </w:rPr>
              <w:t>分)</w:t>
            </w:r>
          </w:p>
        </w:tc>
        <w:tc>
          <w:tcPr>
            <w:tcW w:w="4187" w:type="dxa"/>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根据供应商提供的施工组织设计进行综合评审，①有详细的工程施工进度计划，②确保工期的技术组织措施完善、科学合理、操作性强，③有能够影响工期的因素，④根据项目需要赶工措施</w:t>
            </w:r>
            <w:r>
              <w:rPr>
                <w:rFonts w:hint="eastAsia" w:hAnsi="宋体" w:cs="Times New Roman"/>
                <w:color w:val="000000"/>
                <w:sz w:val="24"/>
                <w:lang w:val="en-US" w:eastAsia="zh-CN"/>
              </w:rPr>
              <w:t>等几方面，</w:t>
            </w:r>
            <w:r>
              <w:rPr>
                <w:rFonts w:hint="eastAsia" w:hAnsi="宋体" w:cs="Times New Roman"/>
                <w:color w:val="000000"/>
                <w:sz w:val="24"/>
              </w:rPr>
              <w:t>完善健全、操作性强，满足采购需求的得</w:t>
            </w:r>
            <w:r>
              <w:rPr>
                <w:rFonts w:hint="eastAsia" w:hAnsi="宋体" w:cs="Times New Roman"/>
                <w:color w:val="000000"/>
                <w:sz w:val="24"/>
                <w:lang w:val="en-US" w:eastAsia="zh-CN"/>
              </w:rPr>
              <w:t>8</w:t>
            </w:r>
            <w:r>
              <w:rPr>
                <w:rFonts w:hint="eastAsia" w:hAnsi="宋体" w:cs="Times New Roman"/>
                <w:color w:val="000000"/>
                <w:sz w:val="24"/>
              </w:rPr>
              <w:t>分；</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上述内容完善健全、操作性</w:t>
            </w:r>
            <w:r>
              <w:rPr>
                <w:rFonts w:hint="eastAsia" w:hAnsi="宋体" w:cs="Times New Roman"/>
                <w:color w:val="000000"/>
                <w:sz w:val="24"/>
                <w:lang w:val="en-US" w:eastAsia="zh-CN"/>
              </w:rPr>
              <w:t>一般</w:t>
            </w:r>
            <w:r>
              <w:rPr>
                <w:rFonts w:hint="eastAsia" w:hAnsi="宋体" w:cs="Times New Roman"/>
                <w:color w:val="000000"/>
                <w:sz w:val="24"/>
              </w:rPr>
              <w:t>，</w:t>
            </w:r>
            <w:r>
              <w:rPr>
                <w:rFonts w:hint="eastAsia" w:hAnsi="宋体" w:cs="Times New Roman"/>
                <w:color w:val="000000"/>
                <w:sz w:val="24"/>
                <w:lang w:eastAsia="zh-CN"/>
              </w:rPr>
              <w:t>基本</w:t>
            </w:r>
            <w:r>
              <w:rPr>
                <w:rFonts w:hint="eastAsia" w:hAnsi="宋体" w:cs="Times New Roman"/>
                <w:color w:val="000000"/>
                <w:sz w:val="24"/>
              </w:rPr>
              <w:t>满足采购需求的得</w:t>
            </w:r>
            <w:r>
              <w:rPr>
                <w:rFonts w:hint="eastAsia" w:hAnsi="宋体" w:cs="Times New Roman"/>
                <w:color w:val="000000"/>
                <w:sz w:val="24"/>
                <w:lang w:val="en-US" w:eastAsia="zh-CN"/>
              </w:rPr>
              <w:t>6</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lang w:eastAsia="zh-CN"/>
              </w:rPr>
            </w:pPr>
            <w:r>
              <w:rPr>
                <w:rFonts w:hint="eastAsia" w:hAnsi="宋体" w:cs="Times New Roman"/>
                <w:color w:val="000000"/>
                <w:sz w:val="24"/>
              </w:rPr>
              <w:t>上述内容有缺失或不够详尽、不够清晰、不够完善的</w:t>
            </w:r>
            <w:r>
              <w:rPr>
                <w:rFonts w:hint="eastAsia" w:hAnsi="宋体" w:cs="Times New Roman"/>
                <w:color w:val="000000"/>
                <w:sz w:val="24"/>
                <w:lang w:val="en-US" w:eastAsia="zh-CN"/>
              </w:rPr>
              <w:t>得3</w:t>
            </w:r>
            <w:r>
              <w:rPr>
                <w:rFonts w:hint="eastAsia" w:hAnsi="宋体" w:cs="Times New Roman"/>
                <w:color w:val="000000"/>
                <w:sz w:val="24"/>
              </w:rPr>
              <w:t>分</w:t>
            </w:r>
            <w:r>
              <w:rPr>
                <w:rFonts w:hint="eastAsia" w:hAnsi="宋体" w:cs="Times New Roman"/>
                <w:color w:val="000000"/>
                <w:sz w:val="24"/>
                <w:lang w:eastAsia="zh-CN"/>
              </w:rPr>
              <w:t>；</w:t>
            </w:r>
          </w:p>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rPr>
              <w:t>没有提供不得分。</w:t>
            </w:r>
          </w:p>
        </w:tc>
        <w:tc>
          <w:tcPr>
            <w:tcW w:w="1829" w:type="dxa"/>
            <w:vMerge w:val="continue"/>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trPr>
        <w:tc>
          <w:tcPr>
            <w:tcW w:w="469"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3</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业绩</w:t>
            </w:r>
            <w:r>
              <w:rPr>
                <w:rFonts w:hint="eastAsia" w:hAnsi="宋体" w:cs="Times New Roman"/>
                <w:color w:val="000000"/>
                <w:sz w:val="24"/>
                <w:lang w:val="en-US" w:eastAsia="zh-CN"/>
              </w:rPr>
              <w:t>8</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default" w:hAnsi="宋体" w:cs="Times New Roman"/>
                <w:color w:val="000000"/>
                <w:sz w:val="24"/>
                <w:lang w:val="en-US" w:eastAsia="zh-CN"/>
              </w:rPr>
            </w:pPr>
            <w:r>
              <w:rPr>
                <w:rFonts w:hint="eastAsia" w:hAnsi="宋体" w:cs="Times New Roman"/>
                <w:color w:val="000000"/>
                <w:sz w:val="24"/>
                <w:lang w:val="en-US" w:eastAsia="zh-CN"/>
              </w:rPr>
              <w:t>8分</w:t>
            </w:r>
          </w:p>
        </w:tc>
        <w:tc>
          <w:tcPr>
            <w:tcW w:w="5616" w:type="dxa"/>
            <w:gridSpan w:val="2"/>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lang w:val="en-US" w:eastAsia="zh-CN"/>
              </w:rPr>
              <w:t>投标人每提供 1个自2019年1月1日以来有效的装饰维修工程类似业绩，得2分；本项最多得8分。</w:t>
            </w:r>
          </w:p>
          <w:p>
            <w:pPr>
              <w:spacing w:before="159" w:beforeLines="50" w:after="159" w:afterLines="50" w:line="360" w:lineRule="auto"/>
              <w:ind w:firstLine="480" w:firstLineChars="200"/>
              <w:jc w:val="both"/>
              <w:outlineLvl w:val="1"/>
              <w:rPr>
                <w:rFonts w:hint="eastAsia" w:hAnsi="宋体" w:cs="Times New Roman"/>
                <w:color w:val="000000"/>
                <w:sz w:val="24"/>
                <w:lang w:val="en-US" w:eastAsia="zh-CN"/>
              </w:rPr>
            </w:pPr>
            <w:r>
              <w:rPr>
                <w:rFonts w:hint="eastAsia" w:hAnsi="宋体" w:cs="Times New Roman"/>
                <w:color w:val="000000"/>
                <w:sz w:val="24"/>
              </w:rPr>
              <w:t xml:space="preserve">  </w:t>
            </w:r>
            <w:r>
              <w:rPr>
                <w:rFonts w:hint="eastAsia" w:hAnsi="宋体" w:cs="Times New Roman"/>
                <w:color w:val="000000"/>
                <w:sz w:val="24"/>
                <w:lang w:eastAsia="zh-CN"/>
              </w:rPr>
              <w:t>注</w:t>
            </w:r>
            <w:r>
              <w:rPr>
                <w:rFonts w:hint="eastAsia" w:hAnsi="宋体" w:cs="Times New Roman"/>
                <w:color w:val="000000"/>
                <w:sz w:val="24"/>
              </w:rPr>
              <w:t>：</w:t>
            </w:r>
            <w:r>
              <w:rPr>
                <w:rFonts w:hint="eastAsia" w:hAnsi="宋体" w:cs="Times New Roman"/>
                <w:color w:val="000000"/>
                <w:sz w:val="24"/>
                <w:lang w:eastAsia="zh-CN"/>
              </w:rPr>
              <w:t>类似项目业绩证明材料以</w:t>
            </w:r>
            <w:r>
              <w:rPr>
                <w:rFonts w:hint="eastAsia" w:hAnsi="宋体" w:cs="Times New Roman"/>
                <w:color w:val="000000"/>
                <w:sz w:val="24"/>
              </w:rPr>
              <w:t>项目施工合同或竣工验收报告为准；</w:t>
            </w:r>
          </w:p>
        </w:tc>
        <w:tc>
          <w:tcPr>
            <w:tcW w:w="1829" w:type="dxa"/>
            <w:noWrap w:val="0"/>
            <w:vAlign w:val="center"/>
          </w:tcPr>
          <w:p>
            <w:pPr>
              <w:spacing w:before="159" w:beforeLines="50" w:after="159" w:afterLines="50" w:line="360" w:lineRule="auto"/>
              <w:jc w:val="both"/>
              <w:outlineLvl w:val="1"/>
              <w:rPr>
                <w:rFonts w:hint="eastAsia" w:hAnsi="宋体" w:cs="Times New Roman"/>
                <w:color w:val="000000"/>
                <w:sz w:val="24"/>
                <w:lang w:val="en-US" w:eastAsia="zh-CN"/>
              </w:rPr>
            </w:pPr>
            <w:r>
              <w:rPr>
                <w:rFonts w:hint="eastAsia" w:hAnsi="宋体" w:cs="Times New Roman"/>
                <w:color w:val="000000"/>
                <w:sz w:val="24"/>
                <w:lang w:val="en-US" w:eastAsia="zh-CN"/>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3" w:hRule="atLeast"/>
        </w:trPr>
        <w:tc>
          <w:tcPr>
            <w:tcW w:w="469" w:type="dxa"/>
            <w:noWrap w:val="0"/>
            <w:vAlign w:val="center"/>
          </w:tcPr>
          <w:p>
            <w:pPr>
              <w:spacing w:before="159" w:beforeLines="50" w:after="159" w:afterLines="50" w:line="360" w:lineRule="auto"/>
              <w:jc w:val="both"/>
              <w:outlineLvl w:val="1"/>
              <w:rPr>
                <w:rFonts w:hint="default" w:hAnsi="宋体" w:cs="Times New Roman"/>
                <w:color w:val="000000"/>
                <w:sz w:val="24"/>
                <w:lang w:val="en-US" w:eastAsia="zh-CN"/>
              </w:rPr>
            </w:pPr>
            <w:r>
              <w:rPr>
                <w:rFonts w:hint="eastAsia" w:hAnsi="宋体" w:cs="Times New Roman"/>
                <w:color w:val="000000"/>
                <w:sz w:val="24"/>
                <w:lang w:val="en-US" w:eastAsia="zh-CN"/>
              </w:rPr>
              <w:t>4</w:t>
            </w:r>
          </w:p>
        </w:tc>
        <w:tc>
          <w:tcPr>
            <w:tcW w:w="130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响应</w:t>
            </w:r>
            <w:r>
              <w:rPr>
                <w:rFonts w:hint="eastAsia" w:hAnsi="宋体" w:cs="Times New Roman"/>
                <w:color w:val="000000"/>
                <w:sz w:val="24"/>
              </w:rPr>
              <w:t>文件规范性</w:t>
            </w:r>
            <w:r>
              <w:rPr>
                <w:rFonts w:hint="eastAsia" w:hAnsi="宋体" w:cs="Times New Roman"/>
                <w:color w:val="000000"/>
                <w:sz w:val="24"/>
                <w:lang w:val="en-US" w:eastAsia="zh-CN"/>
              </w:rPr>
              <w:t>2</w:t>
            </w:r>
            <w:r>
              <w:rPr>
                <w:rFonts w:hint="eastAsia" w:hAnsi="宋体" w:cs="Times New Roman"/>
                <w:color w:val="000000"/>
                <w:sz w:val="24"/>
              </w:rPr>
              <w:t>%</w:t>
            </w:r>
          </w:p>
        </w:tc>
        <w:tc>
          <w:tcPr>
            <w:tcW w:w="790"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lang w:val="en-US" w:eastAsia="zh-CN"/>
              </w:rPr>
              <w:t>2</w:t>
            </w:r>
            <w:r>
              <w:rPr>
                <w:rFonts w:hint="eastAsia" w:hAnsi="宋体" w:cs="Times New Roman"/>
                <w:color w:val="000000"/>
                <w:sz w:val="24"/>
              </w:rPr>
              <w:t>分</w:t>
            </w:r>
          </w:p>
        </w:tc>
        <w:tc>
          <w:tcPr>
            <w:tcW w:w="5616" w:type="dxa"/>
            <w:gridSpan w:val="2"/>
            <w:noWrap w:val="0"/>
            <w:vAlign w:val="center"/>
          </w:tcPr>
          <w:p>
            <w:pPr>
              <w:spacing w:before="159" w:beforeLines="50" w:after="159" w:afterLines="50" w:line="360" w:lineRule="auto"/>
              <w:ind w:firstLine="480" w:firstLineChars="200"/>
              <w:jc w:val="both"/>
              <w:outlineLvl w:val="1"/>
              <w:rPr>
                <w:rFonts w:hint="eastAsia" w:hAnsi="宋体" w:cs="Times New Roman"/>
                <w:color w:val="000000"/>
                <w:sz w:val="24"/>
              </w:rPr>
            </w:pPr>
            <w:r>
              <w:rPr>
                <w:rFonts w:hint="eastAsia" w:hAnsi="宋体" w:cs="Times New Roman"/>
                <w:color w:val="000000"/>
                <w:sz w:val="24"/>
                <w:lang w:val="en-US" w:eastAsia="zh-CN"/>
              </w:rPr>
              <w:t>响应</w:t>
            </w:r>
            <w:r>
              <w:rPr>
                <w:rFonts w:hint="eastAsia" w:hAnsi="宋体" w:cs="Times New Roman"/>
                <w:color w:val="000000"/>
                <w:sz w:val="24"/>
              </w:rPr>
              <w:t>文件的编制、制作规范、装订完全满足招标要求，没有细微偏差得</w:t>
            </w:r>
            <w:r>
              <w:rPr>
                <w:rFonts w:hint="eastAsia" w:hAnsi="宋体" w:cs="Times New Roman"/>
                <w:color w:val="000000"/>
                <w:sz w:val="24"/>
                <w:lang w:val="en-US" w:eastAsia="zh-CN"/>
              </w:rPr>
              <w:t>2</w:t>
            </w:r>
            <w:r>
              <w:rPr>
                <w:rFonts w:hint="eastAsia" w:hAnsi="宋体" w:cs="Times New Roman"/>
                <w:color w:val="000000"/>
                <w:sz w:val="24"/>
              </w:rPr>
              <w:t>分，有一项细微偏差扣0.5分，直至本项分值扣完为止。</w:t>
            </w:r>
          </w:p>
        </w:tc>
        <w:tc>
          <w:tcPr>
            <w:tcW w:w="1829" w:type="dxa"/>
            <w:noWrap w:val="0"/>
            <w:vAlign w:val="center"/>
          </w:tcPr>
          <w:p>
            <w:pPr>
              <w:spacing w:before="159" w:beforeLines="50" w:after="159" w:afterLines="50" w:line="360" w:lineRule="auto"/>
              <w:jc w:val="both"/>
              <w:outlineLvl w:val="1"/>
              <w:rPr>
                <w:rFonts w:hint="eastAsia" w:hAnsi="宋体" w:cs="Times New Roman"/>
                <w:color w:val="000000"/>
                <w:sz w:val="24"/>
              </w:rPr>
            </w:pPr>
            <w:r>
              <w:rPr>
                <w:rFonts w:hint="eastAsia" w:hAnsi="宋体" w:cs="Times New Roman"/>
                <w:color w:val="000000"/>
                <w:sz w:val="24"/>
              </w:rPr>
              <w:t>共同评分因素</w:t>
            </w:r>
          </w:p>
        </w:tc>
      </w:tr>
      <w:bookmarkEnd w:id="0"/>
      <w:bookmarkEnd w:id="1"/>
      <w:bookmarkEnd w:id="2"/>
      <w:bookmarkEnd w:id="3"/>
      <w:bookmarkEnd w:id="4"/>
      <w:bookmarkEnd w:id="5"/>
      <w:bookmarkEnd w:id="6"/>
      <w:bookmarkEnd w:id="7"/>
    </w:tbl>
    <w:p>
      <w:pPr>
        <w:pStyle w:val="4"/>
        <w:tabs>
          <w:tab w:val="left" w:pos="0"/>
        </w:tabs>
        <w:snapToGrid w:val="0"/>
        <w:spacing w:line="360" w:lineRule="auto"/>
        <w:ind w:firstLine="480" w:firstLineChars="200"/>
        <w:rPr>
          <w:rFonts w:hAnsi="宋体"/>
          <w:color w:val="auto"/>
          <w:sz w:val="24"/>
          <w:szCs w:val="24"/>
          <w:shd w:val="clear" w:color="auto" w:fill="auto"/>
        </w:rPr>
      </w:pPr>
    </w:p>
    <w:p>
      <w:bookmarkStart w:id="8" w:name="_GoBack"/>
      <w:bookmarkEnd w:id="8"/>
    </w:p>
    <w:sectPr>
      <w:headerReference r:id="rId3" w:type="default"/>
      <w:footerReference r:id="rId4" w:type="default"/>
      <w:pgSz w:w="11850" w:h="16783"/>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48 -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8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Plain Text"/>
    <w:basedOn w:val="1"/>
    <w:qFormat/>
    <w:uiPriority w:val="0"/>
    <w:pPr>
      <w:autoSpaceDE w:val="0"/>
      <w:autoSpaceDN w:val="0"/>
      <w:adjustRightInd w:val="0"/>
    </w:pPr>
    <w:rPr>
      <w:rFonts w:ascii="宋体" w:hAnsi="Tms Rmn"/>
      <w:kern w:val="0"/>
      <w:szCs w:val="20"/>
    </w:rPr>
  </w:style>
  <w:style w:type="paragraph" w:styleId="5">
    <w:name w:val="footer"/>
    <w:basedOn w:val="1"/>
    <w:qFormat/>
    <w:uiPriority w:val="99"/>
    <w:pPr>
      <w:tabs>
        <w:tab w:val="center" w:pos="4153"/>
        <w:tab w:val="right" w:pos="8306"/>
      </w:tabs>
      <w:snapToGrid w:val="0"/>
      <w:jc w:val="left"/>
    </w:pPr>
    <w:rPr>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2023-05-11T09:08:36Z</dcterms:created>
  <dc:creator>Administrator</dc:creator>
  <cp:lastModifiedBy>笑多了会怀孕</cp:lastModifiedBy>
  <dcterms:modified xsi:type="dcterms:W3CDTF">2023-05-11T09:08:40Z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