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eastAsia="zh-CN"/>
        </w:rPr>
        <w:t>次氯酸钠</w:t>
      </w:r>
      <w:r>
        <w:rPr>
          <w:rFonts w:hint="eastAsia"/>
          <w:b/>
          <w:sz w:val="44"/>
          <w:szCs w:val="44"/>
        </w:rPr>
        <w:t>参数</w:t>
      </w:r>
    </w:p>
    <w:p>
      <w:pPr>
        <w:jc w:val="center"/>
        <w:rPr>
          <w:b/>
          <w:sz w:val="44"/>
          <w:szCs w:val="44"/>
        </w:rPr>
      </w:pPr>
    </w:p>
    <w:p>
      <w:pPr>
        <w:numPr>
          <w:ilvl w:val="0"/>
          <w:numId w:val="1"/>
        </w:numPr>
        <w:rPr>
          <w:rFonts w:hint="eastAsia"/>
          <w:sz w:val="28"/>
          <w:szCs w:val="28"/>
          <w:lang w:eastAsia="zh-CN"/>
        </w:rPr>
      </w:pPr>
      <w:r>
        <w:rPr>
          <w:rFonts w:hint="eastAsia"/>
          <w:sz w:val="28"/>
          <w:szCs w:val="28"/>
          <w:lang w:eastAsia="zh-CN"/>
        </w:rPr>
        <w:t>产品外观为浅黄色。</w:t>
      </w:r>
    </w:p>
    <w:p>
      <w:pPr>
        <w:numPr>
          <w:ilvl w:val="0"/>
          <w:numId w:val="1"/>
        </w:numPr>
        <w:rPr>
          <w:rFonts w:hint="eastAsia"/>
          <w:sz w:val="28"/>
          <w:szCs w:val="28"/>
          <w:lang w:eastAsia="zh-CN"/>
        </w:rPr>
      </w:pPr>
      <w:r>
        <w:rPr>
          <w:rFonts w:hint="eastAsia"/>
          <w:sz w:val="28"/>
          <w:szCs w:val="28"/>
          <w:lang w:eastAsia="zh-CN"/>
        </w:rPr>
        <w:t>有效氯含量为</w:t>
      </w:r>
      <w:r>
        <w:rPr>
          <w:rFonts w:hint="default" w:ascii="Arial" w:hAnsi="Arial" w:cs="Arial"/>
          <w:sz w:val="28"/>
          <w:szCs w:val="28"/>
          <w:lang w:eastAsia="zh-CN"/>
        </w:rPr>
        <w:t>≥</w:t>
      </w:r>
      <w:r>
        <w:rPr>
          <w:rFonts w:hint="eastAsia"/>
          <w:sz w:val="28"/>
          <w:szCs w:val="28"/>
          <w:lang w:val="en-US" w:eastAsia="zh-CN"/>
        </w:rPr>
        <w:t>10.0</w:t>
      </w:r>
      <w:bookmarkStart w:id="0" w:name="_GoBack"/>
      <w:bookmarkEnd w:id="0"/>
    </w:p>
    <w:p>
      <w:pPr>
        <w:numPr>
          <w:ilvl w:val="0"/>
          <w:numId w:val="1"/>
        </w:numPr>
        <w:rPr>
          <w:rFonts w:hint="eastAsia"/>
          <w:sz w:val="28"/>
          <w:szCs w:val="28"/>
          <w:lang w:eastAsia="zh-CN"/>
        </w:rPr>
      </w:pPr>
      <w:r>
        <w:rPr>
          <w:rFonts w:hint="eastAsia"/>
          <w:sz w:val="28"/>
          <w:szCs w:val="28"/>
          <w:lang w:val="en-US" w:eastAsia="zh-CN"/>
        </w:rPr>
        <w:t>游离碱标准值为0.1-1.0之间</w:t>
      </w:r>
    </w:p>
    <w:p>
      <w:pPr>
        <w:numPr>
          <w:ilvl w:val="0"/>
          <w:numId w:val="1"/>
        </w:numPr>
        <w:rPr>
          <w:rFonts w:hint="eastAsia"/>
          <w:sz w:val="28"/>
          <w:szCs w:val="28"/>
          <w:lang w:eastAsia="zh-CN"/>
        </w:rPr>
      </w:pPr>
      <w:r>
        <w:rPr>
          <w:rFonts w:hint="eastAsia"/>
          <w:sz w:val="28"/>
          <w:szCs w:val="28"/>
          <w:lang w:val="en-US" w:eastAsia="zh-CN"/>
        </w:rPr>
        <w:t>铁</w:t>
      </w:r>
      <w:r>
        <w:rPr>
          <w:rFonts w:hint="default" w:ascii="Arial" w:hAnsi="Arial" w:cs="Arial"/>
          <w:sz w:val="28"/>
          <w:szCs w:val="28"/>
          <w:lang w:val="en-US" w:eastAsia="zh-CN"/>
        </w:rPr>
        <w:t>≤</w:t>
      </w:r>
      <w:r>
        <w:rPr>
          <w:rFonts w:hint="eastAsia"/>
          <w:sz w:val="28"/>
          <w:szCs w:val="28"/>
          <w:lang w:val="en-US" w:eastAsia="zh-CN"/>
        </w:rPr>
        <w:t>0.005，重金属</w:t>
      </w:r>
      <w:r>
        <w:rPr>
          <w:rFonts w:hint="default" w:ascii="Arial" w:hAnsi="Arial" w:cs="Arial"/>
          <w:sz w:val="28"/>
          <w:szCs w:val="28"/>
          <w:lang w:val="en-US" w:eastAsia="zh-CN"/>
        </w:rPr>
        <w:t>≤</w:t>
      </w:r>
      <w:r>
        <w:rPr>
          <w:rFonts w:hint="eastAsia"/>
          <w:sz w:val="28"/>
          <w:szCs w:val="28"/>
          <w:lang w:val="en-US" w:eastAsia="zh-CN"/>
        </w:rPr>
        <w:t>0.001，砷</w:t>
      </w:r>
      <w:r>
        <w:rPr>
          <w:rFonts w:hint="default" w:ascii="Arial" w:hAnsi="Arial" w:cs="Arial"/>
          <w:sz w:val="28"/>
          <w:szCs w:val="28"/>
          <w:lang w:val="en-US" w:eastAsia="zh-CN"/>
        </w:rPr>
        <w:t>≤</w:t>
      </w:r>
      <w:r>
        <w:rPr>
          <w:rFonts w:hint="eastAsia"/>
          <w:sz w:val="28"/>
          <w:szCs w:val="28"/>
          <w:lang w:val="en-US" w:eastAsia="zh-CN"/>
        </w:rPr>
        <w:t>0.0001</w:t>
      </w:r>
    </w:p>
    <w:p>
      <w:pPr>
        <w:numPr>
          <w:ilvl w:val="0"/>
          <w:numId w:val="1"/>
        </w:numPr>
        <w:rPr>
          <w:rFonts w:hint="eastAsia"/>
          <w:sz w:val="28"/>
          <w:szCs w:val="28"/>
          <w:lang w:eastAsia="zh-CN"/>
        </w:rPr>
      </w:pPr>
      <w:r>
        <w:rPr>
          <w:rFonts w:hint="eastAsia"/>
          <w:sz w:val="28"/>
          <w:szCs w:val="28"/>
          <w:lang w:val="en-US" w:eastAsia="zh-CN"/>
        </w:rPr>
        <w:t>产品物化性极不稳定，受热易分解，对织物有漂白作用。</w:t>
      </w:r>
    </w:p>
    <w:p>
      <w:pPr>
        <w:numPr>
          <w:ilvl w:val="0"/>
          <w:numId w:val="0"/>
        </w:numPr>
        <w:rPr>
          <w:rFonts w:hint="eastAsia"/>
          <w:sz w:val="28"/>
          <w:szCs w:val="28"/>
          <w:lang w:val="en-US" w:eastAsia="zh-CN"/>
        </w:rPr>
      </w:pPr>
    </w:p>
    <w:p>
      <w:pPr>
        <w:numPr>
          <w:ilvl w:val="0"/>
          <w:numId w:val="0"/>
        </w:numPr>
        <w:jc w:val="center"/>
        <w:rPr>
          <w:rFonts w:hint="eastAsia" w:eastAsia="宋体"/>
          <w:b/>
          <w:bCs/>
          <w:sz w:val="52"/>
          <w:szCs w:val="52"/>
          <w:lang w:val="en-US" w:eastAsia="zh-CN"/>
        </w:rPr>
      </w:pPr>
      <w:r>
        <w:rPr>
          <w:rFonts w:hint="eastAsia"/>
          <w:b/>
          <w:bCs/>
          <w:sz w:val="52"/>
          <w:szCs w:val="52"/>
          <w:lang w:val="en-US" w:eastAsia="zh-CN"/>
        </w:rPr>
        <w:t>评分表</w:t>
      </w:r>
    </w:p>
    <w:tbl>
      <w:tblPr>
        <w:tblStyle w:val="2"/>
        <w:tblW w:w="11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560"/>
        <w:gridCol w:w="1520"/>
        <w:gridCol w:w="840"/>
        <w:gridCol w:w="75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60" w:hRule="atLeast"/>
        </w:trPr>
        <w:tc>
          <w:tcPr>
            <w:tcW w:w="560" w:type="dxa"/>
            <w:noWrap w:val="0"/>
            <w:vAlign w:val="center"/>
          </w:tcPr>
          <w:p>
            <w:pPr>
              <w:spacing w:line="908" w:lineRule="exact"/>
              <w:jc w:val="center"/>
            </w:pPr>
            <w:r>
              <w:rPr>
                <w:rFonts w:hint="eastAsia" w:ascii="宋体" w:hAnsi="宋体" w:eastAsia="宋体"/>
                <w:color w:val="000000"/>
                <w:sz w:val="28"/>
              </w:rPr>
              <w:t>序号</w:t>
            </w:r>
          </w:p>
        </w:tc>
        <w:tc>
          <w:tcPr>
            <w:tcW w:w="1520" w:type="dxa"/>
            <w:noWrap w:val="0"/>
            <w:vAlign w:val="center"/>
          </w:tcPr>
          <w:p>
            <w:pPr>
              <w:spacing w:line="362" w:lineRule="exact"/>
              <w:jc w:val="center"/>
            </w:pPr>
            <w:r>
              <w:rPr>
                <w:rFonts w:hint="eastAsia" w:ascii="宋体" w:hAnsi="宋体" w:eastAsia="宋体"/>
                <w:color w:val="000000"/>
                <w:sz w:val="28"/>
              </w:rPr>
              <w:t>评分因素</w:t>
            </w:r>
          </w:p>
          <w:p>
            <w:pPr>
              <w:spacing w:line="410" w:lineRule="exact"/>
              <w:jc w:val="center"/>
            </w:pPr>
            <w:r>
              <w:rPr>
                <w:rFonts w:hint="eastAsia" w:ascii="宋体" w:hAnsi="宋体" w:eastAsia="宋体"/>
                <w:color w:val="000000"/>
                <w:sz w:val="28"/>
              </w:rPr>
              <w:t>及权重</w:t>
            </w:r>
          </w:p>
        </w:tc>
        <w:tc>
          <w:tcPr>
            <w:tcW w:w="840" w:type="dxa"/>
            <w:noWrap w:val="0"/>
            <w:vAlign w:val="center"/>
          </w:tcPr>
          <w:p>
            <w:pPr>
              <w:spacing w:line="908" w:lineRule="exact"/>
              <w:jc w:val="center"/>
            </w:pPr>
            <w:r>
              <w:rPr>
                <w:rFonts w:hint="eastAsia" w:ascii="宋体" w:hAnsi="宋体" w:eastAsia="宋体"/>
                <w:color w:val="000000"/>
                <w:sz w:val="28"/>
              </w:rPr>
              <w:t>分值</w:t>
            </w:r>
          </w:p>
        </w:tc>
        <w:tc>
          <w:tcPr>
            <w:tcW w:w="7540" w:type="dxa"/>
            <w:noWrap w:val="0"/>
            <w:vAlign w:val="center"/>
          </w:tcPr>
          <w:p>
            <w:pPr>
              <w:spacing w:line="420" w:lineRule="exact"/>
              <w:ind w:firstLine="2800" w:firstLineChars="1000"/>
              <w:jc w:val="both"/>
            </w:pPr>
            <w:r>
              <w:rPr>
                <w:rFonts w:hint="eastAsia" w:ascii="宋体" w:hAnsi="宋体" w:eastAsia="宋体"/>
                <w:color w:val="000000"/>
                <w:sz w:val="28"/>
              </w:rPr>
              <w:t>评分标准</w:t>
            </w:r>
          </w:p>
        </w:tc>
        <w:tc>
          <w:tcPr>
            <w:tcW w:w="1040" w:type="dxa"/>
            <w:noWrap w:val="0"/>
            <w:vAlign w:val="center"/>
          </w:tcPr>
          <w:p>
            <w:pPr>
              <w:spacing w:line="420" w:lineRule="exact"/>
              <w:jc w:val="center"/>
            </w:pPr>
            <w:r>
              <w:rPr>
                <w:rFonts w:hint="eastAsia" w:ascii="宋体" w:hAnsi="宋体" w:eastAsia="宋体"/>
                <w:color w:val="00000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960" w:hRule="atLeast"/>
        </w:trPr>
        <w:tc>
          <w:tcPr>
            <w:tcW w:w="560" w:type="dxa"/>
            <w:noWrap w:val="0"/>
            <w:vAlign w:val="center"/>
          </w:tcPr>
          <w:p>
            <w:pPr>
              <w:spacing w:line="420" w:lineRule="exact"/>
              <w:jc w:val="center"/>
            </w:pPr>
            <w:r>
              <w:rPr>
                <w:rFonts w:hint="eastAsia" w:ascii="宋体" w:hAnsi="宋体" w:eastAsia="宋体"/>
                <w:color w:val="000000"/>
                <w:sz w:val="18"/>
              </w:rPr>
              <w:t>1</w:t>
            </w:r>
          </w:p>
        </w:tc>
        <w:tc>
          <w:tcPr>
            <w:tcW w:w="1520" w:type="dxa"/>
            <w:noWrap w:val="0"/>
            <w:vAlign w:val="center"/>
          </w:tcPr>
          <w:p>
            <w:pPr>
              <w:spacing w:line="448" w:lineRule="exact"/>
              <w:jc w:val="center"/>
            </w:pPr>
            <w:r>
              <w:rPr>
                <w:rFonts w:hint="eastAsia" w:ascii="宋体" w:hAnsi="宋体" w:eastAsia="宋体"/>
                <w:color w:val="000000"/>
                <w:sz w:val="28"/>
              </w:rPr>
              <w:t>报价30％</w:t>
            </w:r>
          </w:p>
        </w:tc>
        <w:tc>
          <w:tcPr>
            <w:tcW w:w="840" w:type="dxa"/>
            <w:noWrap w:val="0"/>
            <w:vAlign w:val="center"/>
          </w:tcPr>
          <w:p>
            <w:pPr>
              <w:spacing w:line="410" w:lineRule="exact"/>
              <w:jc w:val="center"/>
            </w:pPr>
            <w:r>
              <w:rPr>
                <w:rFonts w:hint="eastAsia" w:ascii="宋体" w:hAnsi="宋体" w:eastAsia="宋体"/>
                <w:color w:val="000000"/>
                <w:sz w:val="28"/>
              </w:rPr>
              <w:t>30分</w:t>
            </w:r>
          </w:p>
        </w:tc>
        <w:tc>
          <w:tcPr>
            <w:tcW w:w="7540" w:type="dxa"/>
            <w:noWrap w:val="0"/>
            <w:vAlign w:val="top"/>
          </w:tcPr>
          <w:p>
            <w:pPr>
              <w:spacing w:before="154" w:line="440" w:lineRule="exact"/>
              <w:jc w:val="center"/>
            </w:pPr>
            <w:r>
              <w:rPr>
                <w:rFonts w:hint="eastAsia" w:ascii="宋体" w:hAnsi="宋体" w:eastAsia="宋体"/>
                <w:color w:val="000000"/>
                <w:sz w:val="24"/>
              </w:rPr>
              <w:t>1．以本次有效的最低磋商报价为基准价，磋商报价得分＝（磋商</w:t>
            </w:r>
          </w:p>
          <w:p>
            <w:pPr>
              <w:spacing w:line="440" w:lineRule="exact"/>
              <w:ind w:firstLine="0"/>
              <w:jc w:val="both"/>
            </w:pPr>
            <w:r>
              <w:rPr>
                <w:rFonts w:hint="eastAsia" w:ascii="宋体" w:hAnsi="宋体" w:eastAsia="宋体"/>
                <w:color w:val="000000"/>
                <w:sz w:val="28"/>
              </w:rPr>
              <w:t>基准价／最后磋商报价）x30。</w:t>
            </w:r>
          </w:p>
          <w:p>
            <w:pPr>
              <w:spacing w:line="440" w:lineRule="exact"/>
              <w:ind w:firstLine="0"/>
              <w:jc w:val="both"/>
            </w:pPr>
            <w:r>
              <w:rPr>
                <w:rFonts w:hint="eastAsia" w:ascii="宋体" w:hAnsi="宋体" w:eastAsia="宋体"/>
                <w:color w:val="000000"/>
                <w:sz w:val="28"/>
              </w:rPr>
              <w:t>2．报价得分保留小数点后两位。</w:t>
            </w:r>
          </w:p>
        </w:tc>
        <w:tc>
          <w:tcPr>
            <w:tcW w:w="104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760" w:hRule="atLeast"/>
        </w:trPr>
        <w:tc>
          <w:tcPr>
            <w:tcW w:w="560" w:type="dxa"/>
            <w:noWrap w:val="0"/>
            <w:vAlign w:val="center"/>
          </w:tcPr>
          <w:p>
            <w:pPr>
              <w:spacing w:line="380" w:lineRule="exact"/>
              <w:jc w:val="center"/>
            </w:pPr>
            <w:r>
              <w:rPr>
                <w:rFonts w:hint="eastAsia" w:ascii="宋体" w:hAnsi="宋体" w:eastAsia="宋体"/>
                <w:color w:val="000000"/>
                <w:sz w:val="20"/>
              </w:rPr>
              <w:t>2</w:t>
            </w:r>
          </w:p>
        </w:tc>
        <w:tc>
          <w:tcPr>
            <w:tcW w:w="1520" w:type="dxa"/>
            <w:noWrap w:val="0"/>
            <w:vAlign w:val="top"/>
          </w:tcPr>
          <w:p>
            <w:pPr>
              <w:spacing w:before="1347" w:line="329" w:lineRule="exact"/>
              <w:jc w:val="center"/>
            </w:pPr>
            <w:r>
              <w:rPr>
                <w:rFonts w:hint="eastAsia" w:ascii="宋体" w:hAnsi="宋体" w:eastAsia="宋体"/>
                <w:color w:val="000000"/>
                <w:sz w:val="28"/>
              </w:rPr>
              <w:t>实施方案</w:t>
            </w:r>
          </w:p>
          <w:p>
            <w:pPr>
              <w:spacing w:line="400" w:lineRule="exact"/>
              <w:jc w:val="center"/>
            </w:pPr>
            <w:r>
              <w:rPr>
                <w:rFonts w:hint="eastAsia" w:ascii="宋体" w:hAnsi="宋体" w:eastAsia="宋体"/>
                <w:color w:val="000000"/>
                <w:sz w:val="22"/>
              </w:rPr>
              <w:t>30%</w:t>
            </w:r>
          </w:p>
        </w:tc>
        <w:tc>
          <w:tcPr>
            <w:tcW w:w="840" w:type="dxa"/>
            <w:noWrap w:val="0"/>
            <w:vAlign w:val="center"/>
          </w:tcPr>
          <w:p>
            <w:pPr>
              <w:spacing w:line="420" w:lineRule="exact"/>
              <w:jc w:val="center"/>
            </w:pPr>
            <w:r>
              <w:rPr>
                <w:rFonts w:hint="eastAsia" w:ascii="宋体" w:hAnsi="宋体" w:eastAsia="宋体"/>
                <w:color w:val="000000"/>
                <w:sz w:val="28"/>
              </w:rPr>
              <w:t>30分</w:t>
            </w:r>
          </w:p>
        </w:tc>
        <w:tc>
          <w:tcPr>
            <w:tcW w:w="7540" w:type="dxa"/>
            <w:noWrap w:val="0"/>
            <w:vAlign w:val="center"/>
          </w:tcPr>
          <w:p>
            <w:pPr>
              <w:spacing w:line="440" w:lineRule="exact"/>
              <w:ind w:left="20" w:firstLine="0"/>
              <w:jc w:val="both"/>
            </w:pPr>
            <w:r>
              <w:rPr>
                <w:rFonts w:hint="eastAsia" w:ascii="宋体" w:hAnsi="宋体" w:eastAsia="宋体"/>
                <w:color w:val="000000"/>
                <w:sz w:val="26"/>
              </w:rPr>
              <w:t>投标人针对本项目特点及采购人实际需求制定详细的、具备可行性的、针对本项目的实施方案，包括但不限于产品生产质量保障措施，产品检验检测措，库存管理措施，运输管理措施，恶劣气候、自然灾害等不可抗因素条件下供应保障应急预案等。方案内容完全满足以上要求并且详细、切实可行的得满分。每缺少一项内容扣6分，内容不具备可行性或内容非专门针对本项目或内容不能满足本项目实际需要的，每有一项扣3分，扣完为止。</w:t>
            </w:r>
          </w:p>
        </w:tc>
        <w:tc>
          <w:tcPr>
            <w:tcW w:w="104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260" w:hRule="atLeast"/>
        </w:trPr>
        <w:tc>
          <w:tcPr>
            <w:tcW w:w="560" w:type="dxa"/>
            <w:noWrap w:val="0"/>
            <w:vAlign w:val="center"/>
          </w:tcPr>
          <w:p>
            <w:pPr>
              <w:spacing w:line="420" w:lineRule="exact"/>
              <w:jc w:val="center"/>
            </w:pPr>
            <w:r>
              <w:rPr>
                <w:rFonts w:hint="eastAsia" w:ascii="宋体" w:hAnsi="宋体" w:eastAsia="宋体"/>
                <w:color w:val="000000"/>
                <w:sz w:val="18"/>
              </w:rPr>
              <w:t>3</w:t>
            </w:r>
          </w:p>
        </w:tc>
        <w:tc>
          <w:tcPr>
            <w:tcW w:w="1520" w:type="dxa"/>
            <w:noWrap w:val="0"/>
            <w:vAlign w:val="top"/>
          </w:tcPr>
          <w:p>
            <w:pPr>
              <w:spacing w:before="609" w:line="345" w:lineRule="exact"/>
              <w:jc w:val="center"/>
            </w:pPr>
            <w:r>
              <w:rPr>
                <w:rFonts w:hint="eastAsia" w:ascii="宋体" w:hAnsi="宋体" w:eastAsia="宋体"/>
                <w:color w:val="000000"/>
                <w:sz w:val="28"/>
              </w:rPr>
              <w:t>企业信誉</w:t>
            </w:r>
          </w:p>
          <w:p>
            <w:pPr>
              <w:spacing w:line="420" w:lineRule="exact"/>
              <w:jc w:val="center"/>
            </w:pPr>
            <w:r>
              <w:rPr>
                <w:rFonts w:hint="eastAsia" w:ascii="宋体" w:hAnsi="宋体" w:eastAsia="宋体"/>
                <w:color w:val="000000"/>
                <w:sz w:val="28"/>
              </w:rPr>
              <w:t>6%</w:t>
            </w:r>
          </w:p>
        </w:tc>
        <w:tc>
          <w:tcPr>
            <w:tcW w:w="840" w:type="dxa"/>
            <w:noWrap w:val="0"/>
            <w:vAlign w:val="center"/>
          </w:tcPr>
          <w:p>
            <w:pPr>
              <w:spacing w:line="448" w:lineRule="exact"/>
              <w:jc w:val="center"/>
            </w:pPr>
            <w:r>
              <w:rPr>
                <w:rFonts w:hint="eastAsia" w:ascii="宋体" w:hAnsi="宋体" w:eastAsia="宋体"/>
                <w:color w:val="000000"/>
                <w:sz w:val="28"/>
              </w:rPr>
              <w:t>6分</w:t>
            </w:r>
          </w:p>
        </w:tc>
        <w:tc>
          <w:tcPr>
            <w:tcW w:w="7540" w:type="dxa"/>
            <w:noWrap w:val="0"/>
            <w:vAlign w:val="center"/>
          </w:tcPr>
          <w:p>
            <w:pPr>
              <w:spacing w:line="480" w:lineRule="exact"/>
              <w:ind w:left="20" w:firstLine="0"/>
              <w:jc w:val="both"/>
            </w:pPr>
            <w:r>
              <w:rPr>
                <w:rFonts w:hint="eastAsia" w:ascii="宋体" w:hAnsi="宋体" w:eastAsia="宋体"/>
                <w:color w:val="000000"/>
                <w:sz w:val="32"/>
              </w:rPr>
              <w:t>1、供应商具有有效的质量管理体系认证的，得2分；</w:t>
            </w:r>
          </w:p>
          <w:p>
            <w:pPr>
              <w:spacing w:line="480" w:lineRule="exact"/>
              <w:ind w:left="20" w:firstLine="0"/>
              <w:jc w:val="both"/>
            </w:pPr>
            <w:r>
              <w:rPr>
                <w:rFonts w:hint="eastAsia" w:ascii="宋体" w:hAnsi="宋体" w:eastAsia="宋体"/>
                <w:color w:val="000000"/>
                <w:sz w:val="24"/>
              </w:rPr>
              <w:t>2、供应商具有有效的环境管理体系认证的，得2分；</w:t>
            </w:r>
          </w:p>
          <w:p>
            <w:pPr>
              <w:spacing w:line="480" w:lineRule="exact"/>
              <w:ind w:left="40" w:firstLine="0"/>
              <w:jc w:val="both"/>
            </w:pPr>
            <w:r>
              <w:rPr>
                <w:rFonts w:hint="eastAsia" w:ascii="宋体" w:hAnsi="宋体" w:eastAsia="宋体"/>
                <w:color w:val="000000"/>
                <w:sz w:val="22"/>
              </w:rPr>
              <w:t>3、供应商具有有效的职业健康安全管理体系认证的，得2分。</w:t>
            </w:r>
          </w:p>
          <w:p>
            <w:pPr>
              <w:spacing w:line="500" w:lineRule="exact"/>
              <w:ind w:left="40" w:firstLine="0"/>
              <w:jc w:val="both"/>
            </w:pPr>
            <w:r>
              <w:rPr>
                <w:rFonts w:hint="eastAsia" w:ascii="宋体" w:hAnsi="宋体" w:eastAsia="宋体"/>
                <w:color w:val="000000"/>
                <w:sz w:val="26"/>
              </w:rPr>
              <w:t>注：提供相关证书（证件等材料）复印件并加盖投标人公章，</w:t>
            </w:r>
          </w:p>
          <w:p>
            <w:pPr>
              <w:spacing w:line="500" w:lineRule="exact"/>
              <w:ind w:left="40" w:firstLine="0"/>
              <w:jc w:val="both"/>
            </w:pPr>
            <w:r>
              <w:rPr>
                <w:rFonts w:hint="eastAsia" w:ascii="宋体" w:hAnsi="宋体" w:eastAsia="宋体"/>
                <w:color w:val="000000"/>
                <w:sz w:val="34"/>
              </w:rPr>
              <w:t>否则不得分。</w:t>
            </w:r>
          </w:p>
        </w:tc>
        <w:tc>
          <w:tcPr>
            <w:tcW w:w="104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420" w:hRule="atLeast"/>
        </w:trPr>
        <w:tc>
          <w:tcPr>
            <w:tcW w:w="560" w:type="dxa"/>
            <w:noWrap w:val="0"/>
            <w:vAlign w:val="center"/>
          </w:tcPr>
          <w:p>
            <w:pPr>
              <w:spacing w:line="400" w:lineRule="exact"/>
              <w:jc w:val="center"/>
            </w:pPr>
            <w:r>
              <w:rPr>
                <w:rFonts w:hint="eastAsia" w:ascii="宋体" w:hAnsi="宋体" w:eastAsia="宋体"/>
                <w:color w:val="000000"/>
                <w:sz w:val="20"/>
              </w:rPr>
              <w:t>4</w:t>
            </w:r>
          </w:p>
        </w:tc>
        <w:tc>
          <w:tcPr>
            <w:tcW w:w="1520" w:type="dxa"/>
            <w:noWrap w:val="0"/>
            <w:vAlign w:val="center"/>
          </w:tcPr>
          <w:p>
            <w:pPr>
              <w:spacing w:line="448" w:lineRule="exact"/>
              <w:jc w:val="center"/>
            </w:pPr>
            <w:r>
              <w:rPr>
                <w:rFonts w:hint="eastAsia" w:ascii="宋体" w:hAnsi="宋体" w:eastAsia="宋体"/>
                <w:color w:val="000000"/>
                <w:sz w:val="28"/>
              </w:rPr>
              <w:t>业绩8％</w:t>
            </w:r>
          </w:p>
        </w:tc>
        <w:tc>
          <w:tcPr>
            <w:tcW w:w="840" w:type="dxa"/>
            <w:noWrap w:val="0"/>
            <w:vAlign w:val="center"/>
          </w:tcPr>
          <w:p>
            <w:pPr>
              <w:spacing w:line="448" w:lineRule="exact"/>
              <w:jc w:val="center"/>
            </w:pPr>
            <w:r>
              <w:rPr>
                <w:rFonts w:hint="eastAsia" w:ascii="宋体" w:hAnsi="宋体" w:eastAsia="宋体"/>
                <w:color w:val="000000"/>
                <w:sz w:val="28"/>
              </w:rPr>
              <w:t>8分</w:t>
            </w:r>
          </w:p>
        </w:tc>
        <w:tc>
          <w:tcPr>
            <w:tcW w:w="7540" w:type="dxa"/>
            <w:noWrap w:val="0"/>
            <w:vAlign w:val="top"/>
          </w:tcPr>
          <w:p>
            <w:pPr>
              <w:spacing w:line="440" w:lineRule="exact"/>
              <w:ind w:left="40" w:firstLine="0"/>
              <w:jc w:val="both"/>
            </w:pPr>
            <w:r>
              <w:rPr>
                <w:rFonts w:hint="eastAsia" w:ascii="宋体" w:hAnsi="宋体" w:eastAsia="宋体"/>
                <w:color w:val="000000"/>
                <w:sz w:val="28"/>
              </w:rPr>
              <w:t>投标人2019年1月1日以来，承担过同类项目业绩的一个得2</w:t>
            </w:r>
          </w:p>
          <w:p>
            <w:pPr>
              <w:spacing w:line="410" w:lineRule="exact"/>
              <w:ind w:left="20" w:firstLine="0"/>
              <w:jc w:val="both"/>
            </w:pPr>
            <w:r>
              <w:rPr>
                <w:rFonts w:hint="eastAsia" w:ascii="宋体" w:hAnsi="宋体" w:eastAsia="宋体"/>
                <w:color w:val="000000"/>
                <w:sz w:val="28"/>
              </w:rPr>
              <w:t>分，最多得8分。</w:t>
            </w:r>
          </w:p>
          <w:p>
            <w:pPr>
              <w:spacing w:line="440" w:lineRule="exact"/>
              <w:ind w:firstLine="0"/>
              <w:jc w:val="both"/>
            </w:pPr>
            <w:r>
              <w:rPr>
                <w:rFonts w:hint="eastAsia" w:ascii="宋体" w:hAnsi="宋体" w:eastAsia="宋体"/>
                <w:color w:val="000000"/>
                <w:sz w:val="28"/>
              </w:rPr>
              <w:t>注：提供合同／中标通知书复印件并加盖供应商公章。</w:t>
            </w:r>
          </w:p>
        </w:tc>
        <w:tc>
          <w:tcPr>
            <w:tcW w:w="104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280" w:hRule="atLeast"/>
        </w:trPr>
        <w:tc>
          <w:tcPr>
            <w:tcW w:w="560" w:type="dxa"/>
            <w:noWrap w:val="0"/>
            <w:vAlign w:val="center"/>
          </w:tcPr>
          <w:p>
            <w:pPr>
              <w:spacing w:line="400" w:lineRule="exact"/>
              <w:jc w:val="center"/>
            </w:pPr>
            <w:r>
              <w:rPr>
                <w:rFonts w:hint="eastAsia" w:ascii="宋体" w:hAnsi="宋体" w:eastAsia="宋体"/>
                <w:color w:val="000000"/>
                <w:sz w:val="20"/>
              </w:rPr>
              <w:t>5</w:t>
            </w:r>
          </w:p>
        </w:tc>
        <w:tc>
          <w:tcPr>
            <w:tcW w:w="1520" w:type="dxa"/>
            <w:noWrap w:val="0"/>
            <w:vAlign w:val="top"/>
          </w:tcPr>
          <w:p>
            <w:pPr>
              <w:spacing w:before="1125" w:line="392" w:lineRule="exact"/>
              <w:jc w:val="center"/>
            </w:pPr>
            <w:r>
              <w:rPr>
                <w:rFonts w:hint="eastAsia" w:ascii="宋体" w:hAnsi="宋体" w:eastAsia="宋体"/>
                <w:color w:val="000000"/>
                <w:sz w:val="28"/>
              </w:rPr>
              <w:t>售后服务</w:t>
            </w:r>
          </w:p>
          <w:p>
            <w:pPr>
              <w:spacing w:line="420" w:lineRule="exact"/>
              <w:jc w:val="center"/>
            </w:pPr>
            <w:r>
              <w:rPr>
                <w:rFonts w:hint="eastAsia" w:ascii="宋体" w:hAnsi="宋体" w:eastAsia="宋体"/>
                <w:color w:val="000000"/>
                <w:sz w:val="28"/>
              </w:rPr>
              <w:t>24%</w:t>
            </w:r>
          </w:p>
        </w:tc>
        <w:tc>
          <w:tcPr>
            <w:tcW w:w="840" w:type="dxa"/>
            <w:noWrap w:val="0"/>
            <w:vAlign w:val="center"/>
          </w:tcPr>
          <w:p>
            <w:pPr>
              <w:spacing w:line="448" w:lineRule="exact"/>
              <w:jc w:val="center"/>
            </w:pPr>
            <w:r>
              <w:rPr>
                <w:rFonts w:hint="eastAsia" w:ascii="宋体" w:hAnsi="宋体" w:eastAsia="宋体"/>
                <w:color w:val="000000"/>
                <w:sz w:val="28"/>
              </w:rPr>
              <w:t>24分</w:t>
            </w:r>
          </w:p>
        </w:tc>
        <w:tc>
          <w:tcPr>
            <w:tcW w:w="7540" w:type="dxa"/>
            <w:noWrap w:val="0"/>
            <w:vAlign w:val="center"/>
          </w:tcPr>
          <w:p>
            <w:pPr>
              <w:spacing w:line="440" w:lineRule="exact"/>
              <w:ind w:left="20" w:firstLine="0"/>
              <w:jc w:val="both"/>
            </w:pPr>
            <w:r>
              <w:rPr>
                <w:rFonts w:hint="eastAsia" w:ascii="宋体" w:hAnsi="宋体" w:eastAsia="宋体"/>
                <w:color w:val="000000"/>
                <w:sz w:val="26"/>
              </w:rPr>
              <w:t>投标人针对本项目特点，结合采购人的需求，制定售后服务方案，包括但不限质量保证期限，售后服务团队，为采购人提供的优惠服务及条款，对采购人的安全培训计划等，方案内容完全满足以上要求并且详细、切实可行的得满分，每缺少一项内容扣6分，内容不具备可行性或内容非专门针对本项目或内容不能满足本项目实际需要的，每有一项扣3分，扣完为止。</w:t>
            </w:r>
          </w:p>
        </w:tc>
        <w:tc>
          <w:tcPr>
            <w:tcW w:w="1040"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960" w:hRule="atLeast"/>
        </w:trPr>
        <w:tc>
          <w:tcPr>
            <w:tcW w:w="560" w:type="dxa"/>
            <w:noWrap w:val="0"/>
            <w:vAlign w:val="center"/>
          </w:tcPr>
          <w:p>
            <w:pPr>
              <w:spacing w:line="400" w:lineRule="exact"/>
              <w:jc w:val="center"/>
            </w:pPr>
            <w:r>
              <w:rPr>
                <w:rFonts w:hint="eastAsia" w:ascii="宋体" w:hAnsi="宋体" w:eastAsia="宋体"/>
                <w:color w:val="000000"/>
                <w:sz w:val="22"/>
              </w:rPr>
              <w:t>6</w:t>
            </w:r>
          </w:p>
        </w:tc>
        <w:tc>
          <w:tcPr>
            <w:tcW w:w="1520" w:type="dxa"/>
            <w:noWrap w:val="0"/>
            <w:vAlign w:val="top"/>
          </w:tcPr>
          <w:p>
            <w:pPr>
              <w:spacing w:line="420" w:lineRule="exact"/>
              <w:jc w:val="center"/>
            </w:pPr>
            <w:r>
              <w:rPr>
                <w:rFonts w:hint="eastAsia" w:ascii="宋体" w:hAnsi="宋体" w:eastAsia="宋体"/>
                <w:color w:val="000000"/>
                <w:sz w:val="28"/>
              </w:rPr>
              <w:t>响应文件的</w:t>
            </w:r>
          </w:p>
          <w:p>
            <w:pPr>
              <w:spacing w:line="367" w:lineRule="exact"/>
              <w:jc w:val="center"/>
            </w:pPr>
            <w:r>
              <w:rPr>
                <w:rFonts w:hint="eastAsia" w:ascii="宋体" w:hAnsi="宋体" w:eastAsia="宋体"/>
                <w:color w:val="000000"/>
                <w:sz w:val="28"/>
              </w:rPr>
              <w:t>规范性2％</w:t>
            </w:r>
          </w:p>
        </w:tc>
        <w:tc>
          <w:tcPr>
            <w:tcW w:w="840" w:type="dxa"/>
            <w:noWrap w:val="0"/>
            <w:vAlign w:val="center"/>
          </w:tcPr>
          <w:p>
            <w:pPr>
              <w:spacing w:line="448" w:lineRule="exact"/>
              <w:jc w:val="center"/>
            </w:pPr>
            <w:r>
              <w:rPr>
                <w:rFonts w:hint="eastAsia" w:ascii="宋体" w:hAnsi="宋体" w:eastAsia="宋体"/>
                <w:color w:val="000000"/>
                <w:sz w:val="28"/>
              </w:rPr>
              <w:t>2分</w:t>
            </w:r>
          </w:p>
        </w:tc>
        <w:tc>
          <w:tcPr>
            <w:tcW w:w="7540" w:type="dxa"/>
            <w:noWrap w:val="0"/>
            <w:vAlign w:val="center"/>
          </w:tcPr>
          <w:p>
            <w:pPr>
              <w:spacing w:line="429" w:lineRule="exact"/>
              <w:jc w:val="center"/>
            </w:pPr>
            <w:r>
              <w:rPr>
                <w:rFonts w:hint="eastAsia" w:ascii="宋体" w:hAnsi="宋体" w:eastAsia="宋体"/>
                <w:color w:val="000000"/>
                <w:sz w:val="28"/>
              </w:rPr>
              <w:t>响应文件制作规范，没有细微偏差情形的得2分；有一项细</w:t>
            </w:r>
          </w:p>
          <w:p>
            <w:pPr>
              <w:spacing w:line="460" w:lineRule="exact"/>
              <w:ind w:left="40" w:firstLine="0"/>
              <w:jc w:val="both"/>
            </w:pPr>
            <w:r>
              <w:rPr>
                <w:rFonts w:hint="eastAsia" w:ascii="宋体" w:hAnsi="宋体" w:eastAsia="宋体"/>
                <w:color w:val="000000"/>
                <w:sz w:val="28"/>
              </w:rPr>
              <w:t>微偏差扣0.5分，直至该项分值扣完为止。</w:t>
            </w:r>
          </w:p>
        </w:tc>
        <w:tc>
          <w:tcPr>
            <w:tcW w:w="1040" w:type="dxa"/>
            <w:noWrap w:val="0"/>
            <w:vAlign w:val="center"/>
          </w:tc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7C64F3"/>
    <w:multiLevelType w:val="singleLevel"/>
    <w:tmpl w:val="A17C64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C7F31"/>
    <w:rsid w:val="7C495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2023-05-11T09:11:00Z</dcterms:created>
  <dc:creator>Administrator</dc:creator>
  <cp:lastModifiedBy>笑多了会怀孕</cp:lastModifiedBy>
  <dcterms:modified xsi:type="dcterms:W3CDTF">2023-05-11T09:11:46Z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