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right"/>
        <w:rPr>
          <w:rFonts w:asciiTheme="minorEastAsia" w:hAnsiTheme="minorEastAsia"/>
          <w:sz w:val="28"/>
          <w:szCs w:val="28"/>
        </w:rPr>
      </w:pPr>
    </w:p>
    <w:p>
      <w:pPr>
        <w:pStyle w:val="7"/>
        <w:jc w:val="center"/>
        <w:rPr>
          <w:rFonts w:hint="default" w:asciiTheme="minorEastAsia" w:hAnsiTheme="minorEastAsia" w:eastAsiaTheme="minorEastAsia"/>
          <w:b/>
          <w:bCs/>
          <w:sz w:val="28"/>
          <w:szCs w:val="28"/>
          <w:lang w:val="en-US" w:eastAsia="zh-CN"/>
        </w:rPr>
      </w:pPr>
      <w:r>
        <w:rPr>
          <w:rFonts w:hint="eastAsia" w:asciiTheme="minorEastAsia" w:hAnsiTheme="minorEastAsia"/>
          <w:b/>
          <w:bCs/>
          <w:sz w:val="28"/>
          <w:szCs w:val="28"/>
          <w:lang w:val="en-US" w:eastAsia="zh-CN"/>
        </w:rPr>
        <w:t>放射、内镜PACS系统维保服务和技术要求</w:t>
      </w:r>
    </w:p>
    <w:p>
      <w:pPr>
        <w:numPr>
          <w:ilvl w:val="0"/>
          <w:numId w:val="1"/>
        </w:numPr>
        <w:adjustRightInd w:val="0"/>
        <w:spacing w:line="360" w:lineRule="auto"/>
        <w:rPr>
          <w:rFonts w:ascii="宋体" w:hAnsi="宋体" w:eastAsia="宋体"/>
        </w:rPr>
      </w:pPr>
      <w:r>
        <w:rPr>
          <w:rFonts w:hint="eastAsia" w:ascii="宋体" w:hAnsi="宋体" w:eastAsia="宋体" w:cs="宋体"/>
          <w:color w:val="000000"/>
        </w:rPr>
        <w:t>甲方委托乙方对甲方目前使用的</w:t>
      </w:r>
      <w:r>
        <w:rPr>
          <w:rFonts w:hint="eastAsia" w:ascii="宋体" w:hAnsi="宋体" w:eastAsia="宋体" w:cs="宋体"/>
          <w:color w:val="000000"/>
          <w:lang w:val="en-US" w:eastAsia="zh-CN"/>
        </w:rPr>
        <w:t>全院PACS</w:t>
      </w:r>
      <w:r>
        <w:rPr>
          <w:rFonts w:hint="eastAsia" w:ascii="宋体" w:hAnsi="宋体" w:eastAsia="宋体" w:cs="宋体"/>
        </w:rPr>
        <w:t>系统</w:t>
      </w:r>
      <w:r>
        <w:rPr>
          <w:rFonts w:hint="eastAsia" w:ascii="宋体" w:hAnsi="宋体" w:eastAsia="宋体" w:cs="宋体"/>
          <w:color w:val="000000"/>
        </w:rPr>
        <w:t>提供支持维护工作,</w:t>
      </w:r>
      <w:r>
        <w:rPr>
          <w:rFonts w:hint="eastAsia" w:ascii="宋体" w:hAnsi="宋体" w:eastAsia="宋体" w:cs="宋体"/>
        </w:rPr>
        <w:t>不包含升级服务和加点服务。</w:t>
      </w:r>
    </w:p>
    <w:p>
      <w:pPr>
        <w:numPr>
          <w:ilvl w:val="0"/>
          <w:numId w:val="1"/>
        </w:numPr>
        <w:adjustRightInd w:val="0"/>
        <w:spacing w:line="360" w:lineRule="auto"/>
        <w:rPr>
          <w:rFonts w:ascii="宋体" w:hAnsi="宋体" w:eastAsia="宋体"/>
          <w:color w:val="000000"/>
        </w:rPr>
      </w:pPr>
      <w:r>
        <w:rPr>
          <w:rFonts w:hint="eastAsia" w:ascii="宋体" w:hAnsi="宋体" w:eastAsia="宋体" w:cs="宋体"/>
          <w:color w:val="000000"/>
        </w:rPr>
        <w:t>甲方需指定专人负责协调甲方各部门、组织共同配合乙方的维护工作。</w:t>
      </w:r>
      <w:r>
        <w:rPr>
          <w:rFonts w:ascii="宋体" w:hAnsi="宋体" w:eastAsia="宋体"/>
          <w:color w:val="000000"/>
        </w:rPr>
        <w:t xml:space="preserve"> </w:t>
      </w:r>
    </w:p>
    <w:p>
      <w:pPr>
        <w:numPr>
          <w:ilvl w:val="0"/>
          <w:numId w:val="1"/>
        </w:numPr>
        <w:adjustRightInd w:val="0"/>
        <w:spacing w:line="360" w:lineRule="auto"/>
        <w:rPr>
          <w:rFonts w:ascii="宋体" w:hAnsi="宋体" w:eastAsia="宋体"/>
          <w:color w:val="000000"/>
        </w:rPr>
      </w:pPr>
      <w:r>
        <w:rPr>
          <w:rFonts w:hint="eastAsia" w:ascii="宋体" w:hAnsi="宋体" w:eastAsia="宋体" w:cs="宋体"/>
          <w:color w:val="000000"/>
        </w:rPr>
        <w:t>当甲方</w:t>
      </w:r>
      <w:r>
        <w:rPr>
          <w:rFonts w:hint="eastAsia" w:ascii="宋体" w:hAnsi="宋体" w:eastAsia="宋体" w:cs="宋体"/>
          <w:color w:val="000000"/>
          <w:lang w:val="en-US" w:eastAsia="zh-CN"/>
        </w:rPr>
        <w:t>全院PACS</w:t>
      </w:r>
      <w:r>
        <w:rPr>
          <w:rFonts w:hint="eastAsia" w:ascii="宋体" w:hAnsi="宋体" w:eastAsia="宋体" w:cs="宋体"/>
          <w:color w:val="000000"/>
        </w:rPr>
        <w:t>系统在使用中发生故障时，必须统一经甲方计算机管理人员将问题通知乙方维护工程师，并将问题在工作底稿中记录。以便于乙方安排合适的技术人员进行支持、维护工作。</w:t>
      </w:r>
    </w:p>
    <w:p>
      <w:pPr>
        <w:numPr>
          <w:ilvl w:val="0"/>
          <w:numId w:val="1"/>
        </w:numPr>
        <w:adjustRightInd w:val="0"/>
        <w:spacing w:line="360" w:lineRule="auto"/>
        <w:rPr>
          <w:rFonts w:ascii="宋体" w:hAnsi="宋体" w:eastAsia="宋体"/>
          <w:color w:val="000000"/>
        </w:rPr>
      </w:pPr>
      <w:r>
        <w:rPr>
          <w:rFonts w:hint="eastAsia" w:ascii="宋体" w:hAnsi="宋体" w:eastAsia="宋体" w:cs="宋体"/>
          <w:color w:val="000000"/>
        </w:rPr>
        <w:t>因整个系统涉及部门广、人员多；涵盖技术面宽，故甲、乙双方约定建立标准工作流程，以书面形式的工作底稿作为双方交流、沟通的正式方式，并视为问题登记处理关闭的统一并唯一的归口。甲方所有问题及处理结果都在工作底稿中反映，工作底稿的维护更新甲乙双方均须指定专人负责。</w:t>
      </w:r>
    </w:p>
    <w:p>
      <w:pPr>
        <w:numPr>
          <w:ilvl w:val="0"/>
          <w:numId w:val="1"/>
        </w:numPr>
        <w:adjustRightInd w:val="0"/>
        <w:spacing w:line="360" w:lineRule="auto"/>
        <w:rPr>
          <w:rFonts w:ascii="宋体" w:hAnsi="宋体" w:eastAsia="宋体"/>
        </w:rPr>
      </w:pPr>
      <w:r>
        <w:rPr>
          <w:rFonts w:hint="eastAsia" w:ascii="宋体" w:hAnsi="宋体" w:eastAsia="宋体" w:cs="宋体"/>
        </w:rPr>
        <w:t>甲方应事先确定服务要求并书面通知乙方，若事出紧急，则可先以电话联络，事后再补齐所需书面手续。</w:t>
      </w:r>
    </w:p>
    <w:p>
      <w:pPr>
        <w:numPr>
          <w:ilvl w:val="0"/>
          <w:numId w:val="1"/>
        </w:numPr>
        <w:adjustRightInd w:val="0"/>
        <w:spacing w:line="360" w:lineRule="auto"/>
        <w:rPr>
          <w:rFonts w:ascii="宋体" w:hAnsi="宋体" w:eastAsia="宋体"/>
        </w:rPr>
      </w:pPr>
      <w:r>
        <w:rPr>
          <w:rFonts w:hint="eastAsia" w:ascii="宋体" w:hAnsi="宋体" w:eastAsia="宋体" w:cs="宋体"/>
        </w:rPr>
        <w:t>甲方需配备为满足乙方提供服务所需要的包括但不限于互联网联接等设备。</w:t>
      </w:r>
    </w:p>
    <w:p>
      <w:pPr>
        <w:numPr>
          <w:ilvl w:val="0"/>
          <w:numId w:val="1"/>
        </w:numPr>
        <w:adjustRightInd w:val="0"/>
        <w:spacing w:line="360" w:lineRule="auto"/>
        <w:rPr>
          <w:rFonts w:ascii="宋体" w:hAnsi="宋体" w:eastAsia="宋体"/>
        </w:rPr>
      </w:pPr>
      <w:r>
        <w:rPr>
          <w:rFonts w:hint="eastAsia" w:ascii="宋体" w:hAnsi="宋体" w:eastAsia="宋体" w:cs="宋体"/>
        </w:rPr>
        <w:t>乙方工程师在进行系统维护前应进行严格的测试，确认无误后交予甲方工程师进行二次测试，确认无误后由甲方信息管理中心对乙方提供的服务方案进行签字确认。</w:t>
      </w:r>
    </w:p>
    <w:p>
      <w:pPr>
        <w:numPr>
          <w:ilvl w:val="0"/>
          <w:numId w:val="1"/>
        </w:numPr>
        <w:adjustRightInd w:val="0"/>
        <w:spacing w:line="360" w:lineRule="auto"/>
        <w:rPr>
          <w:rFonts w:ascii="宋体" w:hAnsi="宋体" w:eastAsia="宋体"/>
        </w:rPr>
      </w:pPr>
      <w:r>
        <w:rPr>
          <w:rFonts w:hint="eastAsia" w:ascii="宋体" w:hAnsi="宋体" w:eastAsia="宋体" w:cs="宋体"/>
        </w:rPr>
        <w:t>系统维护过程中，甲乙双方工程师应同时在场。对系统故障中出现的问题，乙方须及时进行处理并做好善后稳定工作，甲方须按方案组织相关科室和人员进行相应配合</w:t>
      </w:r>
      <w:r>
        <w:rPr>
          <w:rFonts w:ascii="宋体" w:hAnsi="宋体" w:eastAsia="宋体"/>
        </w:rPr>
        <w:t>,</w:t>
      </w:r>
      <w:r>
        <w:rPr>
          <w:rFonts w:hint="eastAsia" w:ascii="宋体" w:hAnsi="宋体" w:eastAsia="宋体" w:cs="宋体"/>
        </w:rPr>
        <w:t>并对乙方的维护报告签字确认。</w:t>
      </w:r>
    </w:p>
    <w:p>
      <w:pPr>
        <w:numPr>
          <w:ilvl w:val="0"/>
          <w:numId w:val="1"/>
        </w:numPr>
        <w:adjustRightInd w:val="0"/>
        <w:spacing w:line="360" w:lineRule="auto"/>
        <w:rPr>
          <w:rFonts w:ascii="宋体" w:hAnsi="宋体" w:eastAsia="宋体"/>
        </w:rPr>
      </w:pPr>
      <w:r>
        <w:rPr>
          <w:rFonts w:hint="eastAsia" w:ascii="宋体" w:hAnsi="宋体" w:eastAsia="宋体" w:cs="宋体"/>
        </w:rPr>
        <w:t>甲方应于每次乙方工程师完成现场支持工作后进行确认，并必须对软件数据的正确性进行严格验证。乙方对后续发生的问题进行整改，同时甲乙双方将维护内容记入工作底稿。</w:t>
      </w:r>
    </w:p>
    <w:p>
      <w:pPr>
        <w:numPr>
          <w:ilvl w:val="0"/>
          <w:numId w:val="1"/>
        </w:numPr>
        <w:tabs>
          <w:tab w:val="left" w:pos="540"/>
        </w:tabs>
        <w:adjustRightInd w:val="0"/>
        <w:spacing w:line="360" w:lineRule="auto"/>
        <w:rPr>
          <w:rFonts w:ascii="宋体" w:hAnsi="宋体" w:eastAsia="宋体"/>
        </w:rPr>
      </w:pPr>
      <w:r>
        <w:rPr>
          <w:rFonts w:hint="eastAsia" w:ascii="宋体" w:hAnsi="宋体" w:eastAsia="宋体" w:cs="宋体"/>
        </w:rPr>
        <w:t>甲方应对乙方在现场服务过程中将使用到的自带电脑或其他移动存储设备进行病毒检测，在乙方对自带设备做完防病毒处理后予以确认。</w:t>
      </w:r>
    </w:p>
    <w:p>
      <w:pPr>
        <w:numPr>
          <w:ilvl w:val="0"/>
          <w:numId w:val="1"/>
        </w:numPr>
        <w:tabs>
          <w:tab w:val="left" w:pos="540"/>
        </w:tabs>
        <w:adjustRightInd w:val="0"/>
        <w:spacing w:line="360" w:lineRule="auto"/>
        <w:rPr>
          <w:rFonts w:ascii="宋体" w:hAnsi="宋体" w:eastAsia="宋体"/>
        </w:rPr>
      </w:pPr>
      <w:r>
        <w:rPr>
          <w:rFonts w:hint="eastAsia" w:ascii="宋体" w:hAnsi="宋体" w:eastAsia="宋体" w:cs="宋体"/>
        </w:rPr>
        <w:t>乙方每次维护工作完成，经由甲方人员确认通过后，若因同样的问题再次出现从而导致乙方工程师再一次进行现场支持的应视做另一次维护工作。</w:t>
      </w:r>
    </w:p>
    <w:p>
      <w:pPr>
        <w:numPr>
          <w:ilvl w:val="0"/>
          <w:numId w:val="1"/>
        </w:numPr>
        <w:tabs>
          <w:tab w:val="left" w:pos="540"/>
        </w:tabs>
        <w:adjustRightInd w:val="0"/>
        <w:spacing w:line="360" w:lineRule="auto"/>
        <w:rPr>
          <w:rFonts w:ascii="宋体" w:hAnsi="宋体" w:eastAsia="宋体" w:cs="宋体"/>
        </w:rPr>
      </w:pPr>
      <w:r>
        <w:rPr>
          <w:rFonts w:hint="eastAsia" w:ascii="宋体" w:hAnsi="宋体" w:eastAsia="宋体" w:cs="宋体"/>
        </w:rPr>
        <w:t>乙方确认为甲方提供以下的服务方式及服务内容：</w:t>
      </w:r>
    </w:p>
    <w:p>
      <w:pPr>
        <w:numPr>
          <w:ilvl w:val="2"/>
          <w:numId w:val="2"/>
        </w:numPr>
        <w:tabs>
          <w:tab w:val="clear" w:pos="1685"/>
        </w:tabs>
        <w:adjustRightInd w:val="0"/>
        <w:spacing w:line="360" w:lineRule="auto"/>
        <w:ind w:left="567" w:firstLine="420" w:firstLineChars="200"/>
        <w:rPr>
          <w:rFonts w:ascii="宋体" w:hAnsi="宋体" w:eastAsia="宋体"/>
        </w:rPr>
      </w:pPr>
      <w:r>
        <w:rPr>
          <w:rFonts w:hint="eastAsia" w:ascii="宋体" w:hAnsi="宋体" w:eastAsia="宋体"/>
        </w:rPr>
        <w:t>全年内电话</w:t>
      </w:r>
      <w:r>
        <w:rPr>
          <w:rFonts w:ascii="宋体" w:hAnsi="宋体" w:eastAsia="宋体"/>
        </w:rPr>
        <w:t>7</w:t>
      </w:r>
      <w:r>
        <w:rPr>
          <w:rFonts w:hint="eastAsia" w:ascii="宋体" w:hAnsi="宋体" w:eastAsia="宋体"/>
        </w:rPr>
        <w:t>天</w:t>
      </w:r>
      <w:r>
        <w:rPr>
          <w:rFonts w:ascii="宋体" w:hAnsi="宋体" w:eastAsia="宋体"/>
        </w:rPr>
        <w:t>*24</w:t>
      </w:r>
      <w:r>
        <w:rPr>
          <w:rFonts w:hint="eastAsia" w:ascii="宋体" w:hAnsi="宋体" w:eastAsia="宋体"/>
        </w:rPr>
        <w:t>小时响应，远程保证</w:t>
      </w:r>
      <w:r>
        <w:rPr>
          <w:rFonts w:ascii="宋体" w:hAnsi="宋体" w:eastAsia="宋体"/>
        </w:rPr>
        <w:t>5</w:t>
      </w:r>
      <w:r>
        <w:rPr>
          <w:rFonts w:hint="eastAsia" w:ascii="宋体" w:hAnsi="宋体" w:eastAsia="宋体"/>
        </w:rPr>
        <w:t>天</w:t>
      </w:r>
      <w:r>
        <w:rPr>
          <w:rFonts w:ascii="宋体" w:hAnsi="宋体" w:eastAsia="宋体"/>
        </w:rPr>
        <w:t>*8</w:t>
      </w:r>
      <w:r>
        <w:rPr>
          <w:rFonts w:hint="eastAsia" w:ascii="宋体" w:hAnsi="宋体" w:eastAsia="宋体"/>
        </w:rPr>
        <w:t>小时</w:t>
      </w:r>
      <w:r>
        <w:rPr>
          <w:rFonts w:ascii="宋体" w:hAnsi="宋体" w:eastAsia="宋体"/>
        </w:rPr>
        <w:t>/</w:t>
      </w:r>
      <w:r>
        <w:rPr>
          <w:rFonts w:hint="eastAsia" w:ascii="宋体" w:hAnsi="宋体" w:eastAsia="宋体"/>
        </w:rPr>
        <w:t>周全年的服务响应。班外时间（含节假日）出现故障，电话/远程无法解决，本地维护工程师应在6小时内到达现场进行处理。</w:t>
      </w:r>
    </w:p>
    <w:p>
      <w:pPr>
        <w:numPr>
          <w:ilvl w:val="2"/>
          <w:numId w:val="2"/>
        </w:numPr>
        <w:tabs>
          <w:tab w:val="clear" w:pos="1685"/>
        </w:tabs>
        <w:adjustRightInd w:val="0"/>
        <w:spacing w:line="360" w:lineRule="auto"/>
        <w:ind w:left="567" w:firstLine="420" w:firstLineChars="200"/>
        <w:rPr>
          <w:rFonts w:ascii="宋体" w:hAnsi="宋体" w:eastAsia="宋体"/>
        </w:rPr>
      </w:pPr>
      <w:r>
        <w:rPr>
          <w:rFonts w:hint="eastAsia" w:ascii="宋体" w:hAnsi="宋体" w:eastAsia="宋体" w:cs="宋体"/>
        </w:rPr>
        <w:t>每</w:t>
      </w:r>
      <w:r>
        <w:rPr>
          <w:rFonts w:hint="eastAsia" w:ascii="宋体" w:hAnsi="宋体" w:eastAsia="宋体" w:cs="宋体"/>
          <w:b/>
          <w:bCs/>
          <w:u w:val="single"/>
        </w:rPr>
        <w:t>季度</w:t>
      </w:r>
      <w:r>
        <w:rPr>
          <w:rFonts w:hint="eastAsia" w:ascii="宋体" w:hAnsi="宋体" w:eastAsia="宋体" w:cs="宋体"/>
        </w:rPr>
        <w:t>维护工程师会进行一次现场巡检。</w:t>
      </w:r>
    </w:p>
    <w:p>
      <w:pPr>
        <w:numPr>
          <w:ilvl w:val="2"/>
          <w:numId w:val="2"/>
        </w:numPr>
        <w:tabs>
          <w:tab w:val="clear" w:pos="1685"/>
        </w:tabs>
        <w:adjustRightInd w:val="0"/>
        <w:spacing w:line="360" w:lineRule="auto"/>
        <w:ind w:left="567" w:firstLine="420" w:firstLineChars="200"/>
        <w:rPr>
          <w:rFonts w:ascii="宋体" w:hAnsi="宋体" w:eastAsia="宋体"/>
        </w:rPr>
      </w:pPr>
      <w:r>
        <w:rPr>
          <w:rFonts w:hint="eastAsia" w:ascii="宋体" w:hAnsi="宋体" w:eastAsia="宋体"/>
        </w:rPr>
        <w:t>蓝网PACS产品</w:t>
      </w:r>
      <w:r>
        <w:rPr>
          <w:rFonts w:hint="eastAsia" w:ascii="宋体" w:hAnsi="宋体" w:eastAsia="宋体" w:cs="宋体"/>
        </w:rPr>
        <w:t>的日常数据检查维护及各系统接口维护。</w:t>
      </w:r>
    </w:p>
    <w:p>
      <w:pPr>
        <w:numPr>
          <w:ilvl w:val="2"/>
          <w:numId w:val="2"/>
        </w:numPr>
        <w:tabs>
          <w:tab w:val="clear" w:pos="1685"/>
        </w:tabs>
        <w:adjustRightInd w:val="0"/>
        <w:spacing w:line="360" w:lineRule="auto"/>
        <w:ind w:left="567" w:firstLine="420" w:firstLineChars="200"/>
        <w:rPr>
          <w:rFonts w:ascii="宋体" w:hAnsi="宋体" w:eastAsia="宋体" w:cs="宋体"/>
        </w:rPr>
      </w:pPr>
      <w:r>
        <w:rPr>
          <w:rFonts w:hint="eastAsia" w:ascii="宋体" w:hAnsi="宋体" w:eastAsia="宋体"/>
        </w:rPr>
        <w:t>蓝网PACS产品</w:t>
      </w:r>
      <w:r>
        <w:rPr>
          <w:rFonts w:hint="eastAsia" w:ascii="宋体" w:hAnsi="宋体" w:eastAsia="宋体" w:cs="宋体"/>
        </w:rPr>
        <w:t>的报表维护。</w:t>
      </w:r>
    </w:p>
    <w:p>
      <w:pPr>
        <w:numPr>
          <w:ilvl w:val="2"/>
          <w:numId w:val="2"/>
        </w:numPr>
        <w:tabs>
          <w:tab w:val="clear" w:pos="1685"/>
        </w:tabs>
        <w:adjustRightInd w:val="0"/>
        <w:spacing w:line="360" w:lineRule="auto"/>
        <w:ind w:left="546" w:firstLine="420" w:firstLineChars="200"/>
        <w:rPr>
          <w:rFonts w:ascii="宋体" w:hAnsi="宋体" w:eastAsia="宋体" w:cs="宋体"/>
        </w:rPr>
      </w:pPr>
      <w:r>
        <w:rPr>
          <w:rFonts w:hint="eastAsia" w:ascii="宋体" w:hAnsi="宋体" w:eastAsia="宋体" w:cs="宋体"/>
        </w:rPr>
        <w:t>由操作人员使用不当引起的系统故障处理。</w:t>
      </w:r>
    </w:p>
    <w:p>
      <w:pPr>
        <w:numPr>
          <w:ilvl w:val="2"/>
          <w:numId w:val="2"/>
        </w:numPr>
        <w:tabs>
          <w:tab w:val="clear" w:pos="1685"/>
        </w:tabs>
        <w:adjustRightInd w:val="0"/>
        <w:spacing w:line="360" w:lineRule="auto"/>
        <w:ind w:left="567" w:firstLine="420" w:firstLineChars="200"/>
        <w:rPr>
          <w:rFonts w:ascii="宋体" w:hAnsi="宋体" w:eastAsia="宋体" w:cs="宋体"/>
        </w:rPr>
      </w:pPr>
      <w:r>
        <w:rPr>
          <w:rFonts w:hint="eastAsia" w:ascii="宋体" w:hAnsi="宋体" w:eastAsia="宋体" w:cs="宋体"/>
        </w:rPr>
        <w:t>对</w:t>
      </w:r>
      <w:r>
        <w:rPr>
          <w:rFonts w:hint="eastAsia" w:ascii="宋体" w:hAnsi="宋体" w:eastAsia="宋体"/>
        </w:rPr>
        <w:t>蓝网PACS产品</w:t>
      </w:r>
      <w:r>
        <w:rPr>
          <w:rFonts w:hint="eastAsia" w:ascii="宋体" w:hAnsi="宋体" w:eastAsia="宋体" w:cs="宋体"/>
        </w:rPr>
        <w:t>运行中出现的其他问题进行远程或现场的支持维护。</w:t>
      </w:r>
    </w:p>
    <w:p>
      <w:pPr>
        <w:numPr>
          <w:ilvl w:val="2"/>
          <w:numId w:val="2"/>
        </w:numPr>
        <w:tabs>
          <w:tab w:val="clear" w:pos="1685"/>
        </w:tabs>
        <w:adjustRightInd w:val="0"/>
        <w:spacing w:line="360" w:lineRule="auto"/>
        <w:ind w:left="567" w:firstLine="420" w:firstLineChars="200"/>
        <w:rPr>
          <w:rFonts w:ascii="宋体" w:hAnsi="宋体" w:eastAsia="宋体" w:cs="宋体"/>
        </w:rPr>
      </w:pPr>
      <w:r>
        <w:rPr>
          <w:rFonts w:hint="eastAsia" w:ascii="宋体" w:hAnsi="宋体" w:eastAsia="宋体" w:cs="宋体"/>
        </w:rPr>
        <w:t>针对乙方公司产品相关的系统硬件配件，乙方按照硬件原厂保修约定为准，乙方对系统硬件的保修时间从系统首次验收时间算起。对于升级项目，若系统升级前相关硬件已超出保修期，则系统升级后，则硬件不在保修范围内。</w:t>
      </w:r>
    </w:p>
    <w:p>
      <w:pPr>
        <w:numPr>
          <w:ilvl w:val="2"/>
          <w:numId w:val="2"/>
        </w:numPr>
        <w:tabs>
          <w:tab w:val="clear" w:pos="1685"/>
        </w:tabs>
        <w:adjustRightInd w:val="0"/>
        <w:spacing w:line="360" w:lineRule="auto"/>
        <w:ind w:left="567" w:firstLine="420" w:firstLineChars="200"/>
        <w:rPr>
          <w:rFonts w:ascii="宋体" w:hAnsi="宋体" w:eastAsia="宋体" w:cs="宋体"/>
        </w:rPr>
      </w:pPr>
      <w:r>
        <w:rPr>
          <w:rFonts w:hint="eastAsia" w:ascii="宋体" w:hAnsi="宋体" w:eastAsia="宋体" w:cs="宋体"/>
        </w:rPr>
        <w:t>针对甲方现场出现的问题，经甲乙双方协商，将问题分为：简单、中等难度、复杂、紧急四个级别。简单问题应在</w:t>
      </w:r>
      <w:r>
        <w:rPr>
          <w:rFonts w:ascii="宋体" w:hAnsi="宋体" w:eastAsia="宋体" w:cs="宋体"/>
        </w:rPr>
        <w:t>3</w:t>
      </w:r>
      <w:r>
        <w:rPr>
          <w:rFonts w:hint="eastAsia" w:ascii="宋体" w:hAnsi="宋体" w:eastAsia="宋体" w:cs="宋体"/>
        </w:rPr>
        <w:t>个工作日内修改完成；中等难度问题应在</w:t>
      </w:r>
      <w:r>
        <w:rPr>
          <w:rFonts w:ascii="宋体" w:hAnsi="宋体" w:eastAsia="宋体"/>
        </w:rPr>
        <w:t>7</w:t>
      </w:r>
      <w:r>
        <w:rPr>
          <w:rFonts w:hint="eastAsia" w:ascii="宋体" w:hAnsi="宋体" w:eastAsia="宋体" w:cs="宋体"/>
        </w:rPr>
        <w:t>工作日内修改完成；复杂问题原则上</w:t>
      </w:r>
      <w:r>
        <w:rPr>
          <w:rFonts w:ascii="宋体" w:hAnsi="宋体" w:eastAsia="宋体"/>
        </w:rPr>
        <w:t>10</w:t>
      </w:r>
      <w:r>
        <w:rPr>
          <w:rFonts w:hint="eastAsia" w:ascii="宋体" w:hAnsi="宋体" w:eastAsia="宋体" w:cs="宋体"/>
        </w:rPr>
        <w:t>个工作日内修改完成，有特殊情况应及时反馈与甲方，共同讨论问题的修改计划；紧急问题应立刻进行修改，在最短时间内提供升级包。若乙方暂不能满足甲方需求，需以书面形式通知甲方。</w:t>
      </w:r>
    </w:p>
    <w:p>
      <w:pPr>
        <w:numPr>
          <w:ilvl w:val="0"/>
          <w:numId w:val="1"/>
        </w:numPr>
        <w:tabs>
          <w:tab w:val="left" w:pos="540"/>
        </w:tabs>
        <w:adjustRightInd w:val="0"/>
        <w:spacing w:line="360" w:lineRule="auto"/>
        <w:rPr>
          <w:rFonts w:ascii="宋体" w:hAnsi="宋体" w:eastAsia="宋体" w:cs="宋体"/>
        </w:rPr>
      </w:pPr>
      <w:r>
        <w:rPr>
          <w:rFonts w:hint="eastAsia" w:ascii="宋体" w:hAnsi="宋体" w:eastAsia="宋体" w:cs="宋体"/>
        </w:rPr>
        <w:t>甲方对乙方工作人员的现场支持服务工作不满意，可进行投诉，乙方将认真对待，严肃处理，并将处理结果书面通报甲方。</w:t>
      </w:r>
    </w:p>
    <w:p>
      <w:pPr>
        <w:numPr>
          <w:ilvl w:val="0"/>
          <w:numId w:val="1"/>
        </w:numPr>
        <w:tabs>
          <w:tab w:val="left" w:pos="540"/>
        </w:tabs>
        <w:adjustRightInd w:val="0"/>
        <w:spacing w:line="360" w:lineRule="auto"/>
        <w:rPr>
          <w:rFonts w:ascii="宋体" w:hAnsi="宋体" w:eastAsia="宋体" w:cs="宋体"/>
          <w:bCs/>
        </w:rPr>
      </w:pPr>
      <w:r>
        <w:rPr>
          <w:bCs/>
          <w:sz w:val="24"/>
        </w:rPr>
        <w:t>基本服务内容</w:t>
      </w:r>
    </w:p>
    <w:tbl>
      <w:tblPr>
        <w:tblStyle w:val="10"/>
        <w:tblW w:w="1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895"/>
        <w:gridCol w:w="9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b/>
                <w:szCs w:val="21"/>
              </w:rPr>
            </w:pPr>
            <w:r>
              <w:rPr>
                <w:rFonts w:hint="eastAsia" w:asciiTheme="minorEastAsia" w:hAnsiTheme="minorEastAsia"/>
                <w:b/>
                <w:szCs w:val="21"/>
              </w:rPr>
              <w:t>序号</w:t>
            </w:r>
          </w:p>
        </w:tc>
        <w:tc>
          <w:tcPr>
            <w:tcW w:w="895" w:type="dxa"/>
            <w:shd w:val="clear" w:color="auto" w:fill="auto"/>
            <w:vAlign w:val="top"/>
          </w:tcPr>
          <w:p>
            <w:pPr>
              <w:jc w:val="left"/>
              <w:rPr>
                <w:rFonts w:asciiTheme="minorEastAsia" w:hAnsiTheme="minorEastAsia"/>
                <w:b/>
                <w:szCs w:val="21"/>
              </w:rPr>
            </w:pPr>
            <w:r>
              <w:rPr>
                <w:rFonts w:hint="eastAsia" w:asciiTheme="minorEastAsia" w:hAnsiTheme="minorEastAsia"/>
                <w:b/>
                <w:szCs w:val="21"/>
              </w:rPr>
              <w:t>服务类别</w:t>
            </w:r>
          </w:p>
        </w:tc>
        <w:tc>
          <w:tcPr>
            <w:tcW w:w="9268" w:type="dxa"/>
            <w:shd w:val="clear" w:color="auto" w:fill="auto"/>
            <w:vAlign w:val="top"/>
          </w:tcPr>
          <w:p>
            <w:pPr>
              <w:jc w:val="left"/>
              <w:rPr>
                <w:rFonts w:asciiTheme="minorEastAsia" w:hAnsiTheme="minorEastAsia"/>
                <w:b/>
                <w:szCs w:val="21"/>
              </w:rPr>
            </w:pPr>
            <w:r>
              <w:rPr>
                <w:rFonts w:hint="eastAsia" w:asciiTheme="minorEastAsia" w:hAnsiTheme="minorEastAsia"/>
                <w:b/>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1</w:t>
            </w:r>
          </w:p>
        </w:tc>
        <w:tc>
          <w:tcPr>
            <w:tcW w:w="895" w:type="dxa"/>
            <w:vMerge w:val="restart"/>
            <w:shd w:val="clear" w:color="auto" w:fill="auto"/>
            <w:vAlign w:val="top"/>
          </w:tcPr>
          <w:p>
            <w:pPr>
              <w:jc w:val="left"/>
              <w:rPr>
                <w:rFonts w:asciiTheme="minorEastAsia" w:hAnsiTheme="minorEastAsia"/>
                <w:szCs w:val="21"/>
              </w:rPr>
            </w:pPr>
            <w:r>
              <w:rPr>
                <w:rFonts w:hint="eastAsia" w:asciiTheme="minorEastAsia" w:hAnsiTheme="minorEastAsia"/>
                <w:szCs w:val="21"/>
              </w:rPr>
              <w:t>服务报告类</w:t>
            </w: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乙方结合甲方现场实际环境，制定并提供产品运行指导书和操作文档；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2</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乙方需制定符合甲方现场环境的产品维护方案，形成文档，并提交甲方审核确认；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3</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乙方每季度</w:t>
            </w:r>
            <w:r>
              <w:rPr>
                <w:rFonts w:hint="eastAsia" w:cs="宋体" w:asciiTheme="minorEastAsia" w:hAnsiTheme="minorEastAsia"/>
                <w:szCs w:val="21"/>
              </w:rPr>
              <w:t>向甲方提供用户报告，报告内容包括服务器运行状态、数据库运行状态分析、蓝网产品运行状态分析等内容；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hint="eastAsia" w:asciiTheme="minorEastAsia" w:hAnsiTheme="minorEastAsia"/>
                <w:szCs w:val="21"/>
              </w:rPr>
              <w:t>4</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乙方按照甲方的要求，提供甲方需要的相关产品运行或维护报告（涉及产品设计开发、数据库设计等方面的文档除外）；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5</w:t>
            </w:r>
          </w:p>
        </w:tc>
        <w:tc>
          <w:tcPr>
            <w:tcW w:w="895" w:type="dxa"/>
            <w:vMerge w:val="restart"/>
            <w:shd w:val="clear" w:color="auto" w:fill="auto"/>
            <w:vAlign w:val="top"/>
          </w:tcPr>
          <w:p>
            <w:pPr>
              <w:jc w:val="left"/>
              <w:rPr>
                <w:rFonts w:asciiTheme="minorEastAsia" w:hAnsiTheme="minorEastAsia"/>
                <w:szCs w:val="21"/>
              </w:rPr>
            </w:pPr>
            <w:r>
              <w:rPr>
                <w:rFonts w:hint="eastAsia" w:asciiTheme="minorEastAsia" w:hAnsiTheme="minorEastAsia"/>
                <w:szCs w:val="21"/>
              </w:rPr>
              <w:t>服务器管理及维护</w:t>
            </w: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服务器登录用户、用户权限及密码管理；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hint="eastAsia" w:asciiTheme="minorEastAsia" w:hAnsiTheme="minorEastAsia"/>
                <w:szCs w:val="21"/>
              </w:rPr>
              <w:t>6</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服务器CPU运行状态监控；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7</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服务器内存占用量状态监控；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8</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服务器系统盘容量监控及预警；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9</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服务器数据盘容量监控及预警；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服务器系统日志分析；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服务器防火墙、病毒防范管理；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服务器操作系统更新补丁安装及风险评估；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服务器磁盘使用增量及可用空间状态监控；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4</w:t>
            </w:r>
          </w:p>
        </w:tc>
        <w:tc>
          <w:tcPr>
            <w:tcW w:w="895" w:type="dxa"/>
            <w:vMerge w:val="restart"/>
            <w:shd w:val="clear" w:color="auto" w:fill="auto"/>
            <w:vAlign w:val="top"/>
          </w:tcPr>
          <w:p>
            <w:pPr>
              <w:jc w:val="left"/>
              <w:rPr>
                <w:rFonts w:asciiTheme="minorEastAsia" w:hAnsiTheme="minorEastAsia"/>
                <w:szCs w:val="21"/>
              </w:rPr>
            </w:pPr>
            <w:r>
              <w:rPr>
                <w:rFonts w:hint="eastAsia" w:asciiTheme="minorEastAsia" w:hAnsiTheme="minorEastAsia"/>
                <w:szCs w:val="21"/>
              </w:rPr>
              <w:t>数据库管理及维护</w:t>
            </w: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SQL数据库登录用户、用户权限及密码管理；</w:t>
            </w:r>
          </w:p>
        </w:tc>
      </w:tr>
      <w:tr>
        <w:tblPrEx>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SQL</w:t>
            </w:r>
            <w:r>
              <w:rPr>
                <w:rFonts w:hint="eastAsia" w:asciiTheme="minorEastAsia" w:hAnsiTheme="minorEastAsia"/>
                <w:szCs w:val="21"/>
              </w:rPr>
              <w:t>服务占用服务器内存及CPU数据收集分析；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6</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SQL数据库运行内存监控；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17</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SQL数据库运行内存设置及检查；</w:t>
            </w:r>
          </w:p>
        </w:tc>
      </w:tr>
      <w:tr>
        <w:tblPrEx>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18</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蓝网科技产品运行基础数据及业务数据增量监控；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19</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蓝网科技产品运行数据库备份管理（自动备份与手动备份）；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20</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蓝网科技产品业务数据库手动异地备份管理；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21</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SQL</w:t>
            </w:r>
            <w:r>
              <w:rPr>
                <w:rFonts w:asciiTheme="minorEastAsia" w:hAnsiTheme="minorEastAsia"/>
                <w:szCs w:val="21"/>
              </w:rPr>
              <w:t>数据库维护计划之自动删除备份任务功能监控；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22</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SQL数据库文件增长方式及日志文件增量监控；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23</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S</w:t>
            </w:r>
            <w:r>
              <w:rPr>
                <w:rFonts w:asciiTheme="minorEastAsia" w:hAnsiTheme="minorEastAsia"/>
                <w:szCs w:val="21"/>
              </w:rPr>
              <w:t>QL代理服务运行状态监控；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24</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SQL Server更新补丁安装及风险评估；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25</w:t>
            </w:r>
          </w:p>
        </w:tc>
        <w:tc>
          <w:tcPr>
            <w:tcW w:w="895" w:type="dxa"/>
            <w:vMerge w:val="restart"/>
            <w:shd w:val="clear" w:color="auto" w:fill="auto"/>
            <w:vAlign w:val="top"/>
          </w:tcPr>
          <w:p>
            <w:pPr>
              <w:jc w:val="left"/>
              <w:rPr>
                <w:rFonts w:asciiTheme="minorEastAsia" w:hAnsiTheme="minorEastAsia"/>
                <w:szCs w:val="21"/>
              </w:rPr>
            </w:pPr>
            <w:r>
              <w:rPr>
                <w:rFonts w:hint="eastAsia" w:asciiTheme="minorEastAsia" w:hAnsiTheme="minorEastAsia"/>
                <w:szCs w:val="21"/>
              </w:rPr>
              <w:t>产品服务端程序管理及维护</w:t>
            </w: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服务端运行程序文件异地备份；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26</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服务端文件升级管理，并有完整的文件更新记录；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27</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服务端基本参数设置检查核对；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28</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服务端各子服务运行方式、日志级别定期检查；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29</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服务端加密狗授权及权限管理；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30</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服务端数据管理脚本目录script、error文件夹定期检查；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31</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服务端容灾配置方案部署及检查；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32</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服务端电子申请单及检查报告归档功能检查；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33</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服务端第三方</w:t>
            </w:r>
            <w:r>
              <w:rPr>
                <w:rFonts w:hint="eastAsia" w:asciiTheme="minorEastAsia" w:hAnsiTheme="minorEastAsia"/>
                <w:szCs w:val="21"/>
              </w:rPr>
              <w:t>DICOM设备管理及维护；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34</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服务端各业务数据库对应关系及连通情况检查；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35</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服务端</w:t>
            </w:r>
            <w:r>
              <w:rPr>
                <w:rFonts w:asciiTheme="minorEastAsia" w:hAnsiTheme="minorEastAsia"/>
                <w:szCs w:val="21"/>
              </w:rPr>
              <w:t>各子服务</w:t>
            </w:r>
            <w:r>
              <w:rPr>
                <w:rFonts w:hint="eastAsia" w:asciiTheme="minorEastAsia" w:hAnsiTheme="minorEastAsia"/>
                <w:szCs w:val="21"/>
              </w:rPr>
              <w:t>日志收集及日志分析，解决报错问题；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36</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服务端临床发布网关运行状态监控及日志分析；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37</w:t>
            </w:r>
          </w:p>
        </w:tc>
        <w:tc>
          <w:tcPr>
            <w:tcW w:w="895" w:type="dxa"/>
            <w:vMerge w:val="restart"/>
            <w:shd w:val="clear" w:color="auto" w:fill="auto"/>
            <w:vAlign w:val="top"/>
          </w:tcPr>
          <w:p>
            <w:pPr>
              <w:jc w:val="left"/>
              <w:rPr>
                <w:rFonts w:asciiTheme="minorEastAsia" w:hAnsiTheme="minorEastAsia"/>
                <w:szCs w:val="21"/>
              </w:rPr>
            </w:pPr>
            <w:r>
              <w:rPr>
                <w:rFonts w:hint="eastAsia" w:asciiTheme="minorEastAsia" w:hAnsiTheme="minorEastAsia"/>
                <w:szCs w:val="21"/>
              </w:rPr>
              <w:t>产品客户端程序管理及维护</w:t>
            </w: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客户端登记叫号、诊断工作站程序备份；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38</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客户端程序功能授权分配管理；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39</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客户端程序本地参数设置检查、程序运行日志级别检查；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40</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客户端程序日志分析，解决日志报错问题；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41</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客户端报告单模板调整更新；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2</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客户端叫号小票、申请单格式调整；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43</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客户端叫号、报告默认打印机设置管理；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44</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客户端程序ImageCache目录定期清理；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5</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客户端文件上传管理，定期检查客户端文件是否正常上传，对未上传成功的文件手动上传并查找原因解决；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46</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客户端叫号系统队列管理及维护；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47</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客户端程序登记默认值设置，登记界面布局调整及与</w:t>
            </w:r>
            <w:r>
              <w:rPr>
                <w:rFonts w:hint="eastAsia" w:asciiTheme="minorEastAsia" w:hAnsiTheme="minorEastAsia"/>
                <w:szCs w:val="21"/>
              </w:rPr>
              <w:t>HIS系统信息对应设置；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48</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客户端程序运行过程中发现的bug的修复和完善，采取优先处理原则；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49</w:t>
            </w:r>
          </w:p>
        </w:tc>
        <w:tc>
          <w:tcPr>
            <w:tcW w:w="895" w:type="dxa"/>
            <w:vMerge w:val="restart"/>
            <w:shd w:val="clear" w:color="auto" w:fill="auto"/>
            <w:vAlign w:val="top"/>
          </w:tcPr>
          <w:p>
            <w:pPr>
              <w:jc w:val="left"/>
              <w:rPr>
                <w:rFonts w:asciiTheme="minorEastAsia" w:hAnsiTheme="minorEastAsia"/>
                <w:szCs w:val="21"/>
              </w:rPr>
            </w:pPr>
            <w:r>
              <w:rPr>
                <w:rFonts w:hint="eastAsia" w:asciiTheme="minorEastAsia" w:hAnsiTheme="minorEastAsia"/>
                <w:szCs w:val="21"/>
              </w:rPr>
              <w:t>数据接口类</w:t>
            </w: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蓝网产品与现有第三方产品数据交互接口基本功能检查，接口日志分析；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50</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蓝网产品与现有第三方产品接口</w:t>
            </w:r>
            <w:r>
              <w:rPr>
                <w:rFonts w:hint="eastAsia" w:asciiTheme="minorEastAsia" w:hAnsiTheme="minorEastAsia"/>
                <w:szCs w:val="21"/>
              </w:rPr>
              <w:t>BUG免费修正处理；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51</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蓝网产品与现有第三方产品接口简单功能调整和完善管理（接口的修改不影响业务主流程）；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52</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蓝网产品与现有第三方产品数据交互接口功能完善，结合医院工作流程，改进和完善数据交互接口（可能会影响主业务流程）；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53</w:t>
            </w:r>
          </w:p>
        </w:tc>
        <w:tc>
          <w:tcPr>
            <w:tcW w:w="895" w:type="dxa"/>
            <w:vMerge w:val="restart"/>
            <w:shd w:val="clear" w:color="auto" w:fill="auto"/>
            <w:vAlign w:val="top"/>
          </w:tcPr>
          <w:p>
            <w:pPr>
              <w:jc w:val="left"/>
              <w:rPr>
                <w:rFonts w:asciiTheme="minorEastAsia" w:hAnsiTheme="minorEastAsia"/>
                <w:szCs w:val="21"/>
              </w:rPr>
            </w:pPr>
            <w:r>
              <w:rPr>
                <w:rFonts w:hint="eastAsia" w:asciiTheme="minorEastAsia" w:hAnsiTheme="minorEastAsia"/>
                <w:szCs w:val="21"/>
              </w:rPr>
              <w:t>技术支持及培训类</w:t>
            </w: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乙方为甲方指定责任工程师，负责乙方产品的维护，需求收集及bug处理，及不定期的电话和现场服务，作为接口工程师；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54</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与医院科室主任进行交流，了解医院需求和意见，协助医院信息化建设；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55</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对客户进行回访，同时对客户进行技术培训和产品新功能讲解；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56</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协助科室医生修改和完善知识库模版，让检查报告术语更加专业和规范化；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57</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hint="eastAsia" w:asciiTheme="minorEastAsia" w:hAnsiTheme="minorEastAsia"/>
                <w:szCs w:val="21"/>
              </w:rPr>
              <w:t>蓝网400客服专员电话回访、记录使用情况和收集客户意见，</w:t>
            </w:r>
            <w:r>
              <w:rPr>
                <w:rFonts w:asciiTheme="minorEastAsia" w:hAnsiTheme="minorEastAsia"/>
                <w:szCs w:val="21"/>
              </w:rPr>
              <w:t>对回访中</w:t>
            </w:r>
            <w:r>
              <w:rPr>
                <w:rFonts w:hint="eastAsia" w:asciiTheme="minorEastAsia" w:hAnsiTheme="minorEastAsia"/>
                <w:szCs w:val="21"/>
              </w:rPr>
              <w:t>收集</w:t>
            </w:r>
            <w:r>
              <w:rPr>
                <w:rFonts w:asciiTheme="minorEastAsia" w:hAnsiTheme="minorEastAsia"/>
                <w:szCs w:val="21"/>
              </w:rPr>
              <w:t>的问题</w:t>
            </w:r>
            <w:r>
              <w:rPr>
                <w:rFonts w:hint="eastAsia" w:asciiTheme="minorEastAsia" w:hAnsiTheme="minorEastAsia"/>
                <w:szCs w:val="21"/>
              </w:rPr>
              <w:t>及时</w:t>
            </w:r>
            <w:r>
              <w:rPr>
                <w:rFonts w:asciiTheme="minorEastAsia" w:hAnsiTheme="minorEastAsia"/>
                <w:szCs w:val="21"/>
              </w:rPr>
              <w:t>反馈工程师</w:t>
            </w:r>
            <w:r>
              <w:rPr>
                <w:rFonts w:hint="eastAsia" w:asciiTheme="minorEastAsia" w:hAnsiTheme="minorEastAsia"/>
                <w:szCs w:val="21"/>
              </w:rPr>
              <w:t>优先</w:t>
            </w:r>
            <w:r>
              <w:rPr>
                <w:rFonts w:asciiTheme="minorEastAsia" w:hAnsiTheme="minorEastAsia"/>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58</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对医院信息科及业务科室管理人员进行技术培训，以便他们掌握产品的基本维护，迅速解决系统故障；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szCs w:val="21"/>
              </w:rPr>
            </w:pPr>
            <w:r>
              <w:rPr>
                <w:rFonts w:asciiTheme="minorEastAsia" w:hAnsiTheme="minorEastAsia"/>
                <w:szCs w:val="21"/>
              </w:rPr>
              <w:t>59</w:t>
            </w:r>
          </w:p>
        </w:tc>
        <w:tc>
          <w:tcPr>
            <w:tcW w:w="895" w:type="dxa"/>
            <w:vMerge w:val="continue"/>
            <w:shd w:val="clear" w:color="auto" w:fill="auto"/>
            <w:vAlign w:val="top"/>
          </w:tcPr>
          <w:p>
            <w:pPr>
              <w:jc w:val="left"/>
              <w:rPr>
                <w:rFonts w:asciiTheme="minorEastAsia" w:hAnsiTheme="minorEastAsia"/>
                <w:szCs w:val="21"/>
              </w:rPr>
            </w:pPr>
          </w:p>
        </w:tc>
        <w:tc>
          <w:tcPr>
            <w:tcW w:w="9268" w:type="dxa"/>
            <w:shd w:val="clear" w:color="auto" w:fill="auto"/>
            <w:vAlign w:val="top"/>
          </w:tcPr>
          <w:p>
            <w:pPr>
              <w:jc w:val="left"/>
              <w:rPr>
                <w:rFonts w:asciiTheme="minorEastAsia" w:hAnsiTheme="minorEastAsia"/>
                <w:szCs w:val="21"/>
              </w:rPr>
            </w:pPr>
            <w:r>
              <w:rPr>
                <w:rFonts w:asciiTheme="minorEastAsia" w:hAnsiTheme="minorEastAsia"/>
                <w:szCs w:val="21"/>
              </w:rPr>
              <w:t>全年提供电话技术支持服务，客户可以通过</w:t>
            </w:r>
            <w:r>
              <w:rPr>
                <w:rFonts w:hint="eastAsia" w:asciiTheme="minorEastAsia" w:hAnsiTheme="minorEastAsia"/>
                <w:szCs w:val="21"/>
              </w:rPr>
              <w:t>400电话进行技术咨询及产品故障报修；</w:t>
            </w:r>
          </w:p>
        </w:tc>
      </w:tr>
    </w:tbl>
    <w:p>
      <w:pPr>
        <w:pStyle w:val="15"/>
        <w:numPr>
          <w:ilvl w:val="0"/>
          <w:numId w:val="0"/>
        </w:numPr>
        <w:ind w:left="420" w:leftChars="0"/>
      </w:pPr>
    </w:p>
    <w:p>
      <w:pPr>
        <w:pStyle w:val="7"/>
        <w:jc w:val="left"/>
        <w:rPr>
          <w:rFonts w:hint="eastAsia" w:asciiTheme="minorEastAsia" w:hAnsiTheme="minorEastAsia"/>
          <w:sz w:val="28"/>
          <w:szCs w:val="28"/>
        </w:rPr>
      </w:pPr>
    </w:p>
    <w:p>
      <w:pPr>
        <w:pStyle w:val="7"/>
        <w:jc w:val="left"/>
        <w:rPr>
          <w:rFonts w:hint="eastAsia" w:asciiTheme="minorEastAsia" w:hAnsiTheme="minorEastAsia"/>
          <w:sz w:val="28"/>
          <w:szCs w:val="28"/>
        </w:rPr>
      </w:pPr>
    </w:p>
    <w:p>
      <w:pPr>
        <w:widowControl/>
        <w:numPr>
          <w:ilvl w:val="0"/>
          <w:numId w:val="0"/>
        </w:numPr>
        <w:spacing w:before="100" w:beforeAutospacing="1" w:after="100" w:afterAutospacing="1" w:line="420" w:lineRule="atLeast"/>
        <w:ind w:leftChars="0"/>
        <w:jc w:val="center"/>
        <w:rPr>
          <w:rFonts w:hint="eastAsia" w:ascii="宋体" w:hAnsi="宋体" w:cs="宋体"/>
          <w:b/>
          <w:bCs/>
          <w:kern w:val="0"/>
          <w:sz w:val="32"/>
          <w:szCs w:val="32"/>
          <w:lang w:val="en-US" w:eastAsia="zh-CN"/>
        </w:rPr>
      </w:pPr>
    </w:p>
    <w:p>
      <w:pPr>
        <w:widowControl/>
        <w:numPr>
          <w:ilvl w:val="0"/>
          <w:numId w:val="0"/>
        </w:numPr>
        <w:spacing w:before="100" w:beforeAutospacing="1" w:after="100" w:afterAutospacing="1" w:line="420" w:lineRule="atLeast"/>
        <w:ind w:leftChars="0"/>
        <w:jc w:val="center"/>
        <w:rPr>
          <w:rFonts w:ascii="宋体" w:hAnsi="宋体" w:cs="宋体"/>
          <w:kern w:val="0"/>
          <w:sz w:val="32"/>
          <w:szCs w:val="32"/>
        </w:rPr>
      </w:pPr>
      <w:bookmarkStart w:id="0" w:name="_GoBack"/>
      <w:bookmarkEnd w:id="0"/>
      <w:r>
        <w:rPr>
          <w:rFonts w:hint="eastAsia" w:ascii="宋体" w:hAnsi="宋体" w:cs="宋体"/>
          <w:b/>
          <w:bCs/>
          <w:kern w:val="0"/>
          <w:sz w:val="32"/>
          <w:szCs w:val="32"/>
          <w:lang w:val="en-US" w:eastAsia="zh-CN"/>
        </w:rPr>
        <w:t>评分标准</w:t>
      </w:r>
    </w:p>
    <w:tbl>
      <w:tblPr>
        <w:tblStyle w:val="10"/>
        <w:tblW w:w="921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874"/>
        <w:gridCol w:w="742"/>
        <w:gridCol w:w="660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blHeader/>
        </w:trPr>
        <w:tc>
          <w:tcPr>
            <w:tcW w:w="187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rFonts w:hint="eastAsia" w:ascii="宋体" w:hAnsi="宋体" w:cs="宋体"/>
                <w:sz w:val="24"/>
                <w:szCs w:val="24"/>
              </w:rPr>
            </w:pPr>
            <w:r>
              <w:rPr>
                <w:rFonts w:ascii="宋体" w:hAnsi="宋体" w:cs="宋体"/>
                <w:kern w:val="0"/>
                <w:sz w:val="24"/>
                <w:szCs w:val="24"/>
                <w:lang w:bidi="ar"/>
              </w:rPr>
              <w:t>评标项目</w:t>
            </w:r>
          </w:p>
        </w:tc>
        <w:tc>
          <w:tcPr>
            <w:tcW w:w="74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rFonts w:ascii="宋体" w:hAnsi="宋体" w:cs="宋体"/>
                <w:kern w:val="0"/>
                <w:sz w:val="24"/>
                <w:szCs w:val="24"/>
                <w:lang w:bidi="ar"/>
              </w:rPr>
            </w:pPr>
            <w:r>
              <w:rPr>
                <w:rFonts w:ascii="宋体" w:hAnsi="宋体" w:cs="宋体"/>
                <w:kern w:val="0"/>
                <w:sz w:val="24"/>
                <w:szCs w:val="24"/>
                <w:lang w:bidi="ar"/>
              </w:rPr>
              <w:t>评标</w:t>
            </w:r>
          </w:p>
          <w:p>
            <w:pPr>
              <w:widowControl/>
              <w:jc w:val="left"/>
              <w:rPr>
                <w:rFonts w:hint="eastAsia" w:ascii="宋体" w:hAnsi="宋体" w:cs="宋体"/>
                <w:sz w:val="24"/>
                <w:szCs w:val="24"/>
              </w:rPr>
            </w:pPr>
            <w:r>
              <w:rPr>
                <w:rFonts w:ascii="宋体" w:hAnsi="宋体" w:cs="宋体"/>
                <w:kern w:val="0"/>
                <w:sz w:val="24"/>
                <w:szCs w:val="24"/>
                <w:lang w:bidi="ar"/>
              </w:rPr>
              <w:t>分值</w:t>
            </w:r>
          </w:p>
        </w:tc>
        <w:tc>
          <w:tcPr>
            <w:tcW w:w="660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rFonts w:hint="eastAsia" w:ascii="宋体" w:hAnsi="宋体" w:cs="宋体"/>
                <w:sz w:val="24"/>
                <w:szCs w:val="24"/>
              </w:rPr>
            </w:pPr>
            <w:r>
              <w:rPr>
                <w:rFonts w:ascii="宋体" w:hAnsi="宋体" w:cs="宋体"/>
                <w:kern w:val="0"/>
                <w:sz w:val="24"/>
                <w:szCs w:val="24"/>
                <w:lang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rHeight w:val="1610" w:hRule="atLeast"/>
        </w:trPr>
        <w:tc>
          <w:tcPr>
            <w:tcW w:w="187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rFonts w:hint="eastAsia" w:ascii="宋体" w:hAnsi="宋体" w:cs="宋体"/>
                <w:sz w:val="24"/>
                <w:szCs w:val="24"/>
              </w:rPr>
            </w:pPr>
            <w:r>
              <w:rPr>
                <w:rFonts w:ascii="宋体" w:hAnsi="宋体" w:cs="宋体"/>
                <w:b/>
                <w:bCs/>
                <w:kern w:val="0"/>
                <w:sz w:val="24"/>
                <w:szCs w:val="24"/>
              </w:rPr>
              <w:t>技术部分评分</w:t>
            </w:r>
          </w:p>
        </w:tc>
        <w:tc>
          <w:tcPr>
            <w:tcW w:w="74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rFonts w:hint="eastAsia" w:ascii="宋体" w:hAnsi="宋体" w:cs="宋体"/>
                <w:sz w:val="24"/>
                <w:szCs w:val="24"/>
              </w:rPr>
            </w:pPr>
            <w:r>
              <w:rPr>
                <w:rFonts w:hint="eastAsia" w:ascii="宋体" w:hAnsi="宋体" w:cs="宋体"/>
                <w:kern w:val="0"/>
                <w:sz w:val="24"/>
                <w:szCs w:val="24"/>
                <w:lang w:val="en-US" w:eastAsia="zh-CN" w:bidi="ar"/>
              </w:rPr>
              <w:t>5</w:t>
            </w:r>
            <w:r>
              <w:rPr>
                <w:rFonts w:hint="eastAsia" w:ascii="宋体" w:hAnsi="宋体" w:cs="宋体"/>
                <w:kern w:val="0"/>
                <w:sz w:val="24"/>
                <w:szCs w:val="24"/>
                <w:lang w:bidi="ar"/>
              </w:rPr>
              <w:t>2</w:t>
            </w:r>
          </w:p>
        </w:tc>
        <w:tc>
          <w:tcPr>
            <w:tcW w:w="660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rFonts w:hint="eastAsia" w:ascii="宋体" w:hAnsi="宋体" w:cs="宋体"/>
                <w:sz w:val="24"/>
                <w:szCs w:val="24"/>
              </w:rPr>
            </w:pPr>
            <w:r>
              <w:rPr>
                <w:rFonts w:hint="eastAsia" w:ascii="宋体" w:hAnsi="宋体" w:cs="宋体"/>
                <w:sz w:val="24"/>
                <w:szCs w:val="24"/>
              </w:rPr>
              <w:t>供应商需根据本项目服务需求特点，提供整体方案：</w:t>
            </w:r>
          </w:p>
          <w:p>
            <w:pPr>
              <w:widowControl/>
              <w:jc w:val="left"/>
              <w:rPr>
                <w:rFonts w:hint="eastAsia" w:ascii="宋体" w:hAnsi="宋体" w:cs="宋体"/>
                <w:sz w:val="24"/>
                <w:szCs w:val="24"/>
              </w:rPr>
            </w:pPr>
            <w:r>
              <w:rPr>
                <w:rFonts w:hint="eastAsia" w:ascii="宋体" w:hAnsi="宋体" w:cs="宋体"/>
                <w:sz w:val="24"/>
                <w:szCs w:val="24"/>
              </w:rPr>
              <w:t>1、方案合理，内容详细，措施完善，可行性强，能完全满足项目服务要求，得</w:t>
            </w: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分；</w:t>
            </w:r>
          </w:p>
          <w:p>
            <w:pPr>
              <w:widowControl/>
              <w:jc w:val="left"/>
              <w:rPr>
                <w:rFonts w:hint="eastAsia" w:ascii="宋体" w:hAnsi="宋体" w:cs="宋体"/>
                <w:sz w:val="24"/>
                <w:szCs w:val="24"/>
              </w:rPr>
            </w:pPr>
            <w:r>
              <w:rPr>
                <w:rFonts w:hint="eastAsia" w:ascii="宋体" w:hAnsi="宋体" w:cs="宋体"/>
                <w:sz w:val="24"/>
                <w:szCs w:val="24"/>
              </w:rPr>
              <w:t>2、方案较合理，内容较详细，措施合理，可行性较好，能基本满足服务要求，得</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分；</w:t>
            </w:r>
          </w:p>
          <w:p>
            <w:pPr>
              <w:widowControl/>
              <w:jc w:val="left"/>
              <w:rPr>
                <w:rFonts w:hint="eastAsia" w:ascii="宋体" w:hAnsi="宋体" w:cs="宋体"/>
                <w:sz w:val="24"/>
                <w:szCs w:val="24"/>
              </w:rPr>
            </w:pPr>
            <w:r>
              <w:rPr>
                <w:rFonts w:hint="eastAsia" w:ascii="宋体" w:hAnsi="宋体" w:cs="宋体"/>
                <w:sz w:val="24"/>
                <w:szCs w:val="24"/>
              </w:rPr>
              <w:t>3、方案内容有遗漏，措施欠合理，可行性较差，得</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分。</w:t>
            </w:r>
          </w:p>
          <w:p>
            <w:pPr>
              <w:widowControl/>
              <w:jc w:val="left"/>
              <w:rPr>
                <w:rFonts w:hint="eastAsia" w:ascii="宋体" w:hAnsi="宋体" w:cs="宋体"/>
                <w:sz w:val="24"/>
                <w:szCs w:val="24"/>
              </w:rPr>
            </w:pPr>
            <w:r>
              <w:rPr>
                <w:rFonts w:hint="eastAsia" w:ascii="宋体" w:hAnsi="宋体" w:cs="宋体"/>
                <w:sz w:val="24"/>
                <w:szCs w:val="24"/>
              </w:rPr>
              <w:t>根据供应商对招标文件“技术和服务要求”中【评分项】一般技术和服务要求的响应情况进行评分：</w:t>
            </w:r>
            <w:r>
              <w:rPr>
                <w:rFonts w:hint="eastAsia" w:ascii="宋体" w:hAnsi="宋体" w:cs="宋体"/>
                <w:sz w:val="24"/>
                <w:szCs w:val="24"/>
                <w:lang w:val="en-US" w:eastAsia="zh-CN"/>
              </w:rPr>
              <w:t>14</w:t>
            </w:r>
            <w:r>
              <w:rPr>
                <w:rFonts w:hint="eastAsia" w:ascii="宋体" w:hAnsi="宋体" w:cs="宋体"/>
                <w:sz w:val="24"/>
                <w:szCs w:val="24"/>
              </w:rPr>
              <w:t>个【评分项】全部无偏离或优于的得</w:t>
            </w:r>
            <w:r>
              <w:rPr>
                <w:rFonts w:hint="eastAsia" w:ascii="宋体" w:hAnsi="宋体" w:cs="宋体"/>
                <w:sz w:val="24"/>
                <w:szCs w:val="24"/>
                <w:lang w:val="en-US" w:eastAsia="zh-CN"/>
              </w:rPr>
              <w:t>4</w:t>
            </w:r>
            <w:r>
              <w:rPr>
                <w:rFonts w:hint="eastAsia" w:ascii="宋体" w:hAnsi="宋体" w:cs="宋体"/>
                <w:sz w:val="24"/>
                <w:szCs w:val="24"/>
              </w:rPr>
              <w:t>2分， 每一项负偏离扣</w:t>
            </w:r>
            <w:r>
              <w:rPr>
                <w:rFonts w:hint="eastAsia" w:ascii="宋体" w:hAnsi="宋体" w:cs="宋体"/>
                <w:sz w:val="24"/>
                <w:szCs w:val="24"/>
                <w:lang w:val="en-US" w:eastAsia="zh-CN"/>
              </w:rPr>
              <w:t>3</w:t>
            </w:r>
            <w:r>
              <w:rPr>
                <w:rFonts w:hint="eastAsia" w:ascii="宋体" w:hAnsi="宋体" w:cs="宋体"/>
                <w:sz w:val="24"/>
                <w:szCs w:val="24"/>
              </w:rPr>
              <w:t>分,扣完为止。</w:t>
            </w:r>
          </w:p>
          <w:p>
            <w:pPr>
              <w:widowControl/>
              <w:jc w:val="left"/>
              <w:rPr>
                <w:rFonts w:hint="eastAsia" w:ascii="宋体" w:hAnsi="宋体" w:cs="宋体"/>
                <w:sz w:val="24"/>
                <w:szCs w:val="24"/>
              </w:rPr>
            </w:pPr>
          </w:p>
          <w:p>
            <w:pPr>
              <w:widowControl/>
              <w:jc w:val="left"/>
              <w:rPr>
                <w:rFonts w:hint="eastAsia" w:ascii="宋体" w:hAnsi="宋体" w:cs="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rHeight w:val="1610" w:hRule="atLeast"/>
        </w:trPr>
        <w:tc>
          <w:tcPr>
            <w:tcW w:w="187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rFonts w:ascii="宋体" w:hAnsi="宋体" w:cs="宋体"/>
                <w:b/>
                <w:bCs/>
                <w:kern w:val="0"/>
                <w:sz w:val="24"/>
                <w:szCs w:val="24"/>
              </w:rPr>
            </w:pPr>
            <w:r>
              <w:rPr>
                <w:rFonts w:ascii="宋体" w:hAnsi="宋体" w:cs="宋体"/>
                <w:b/>
                <w:bCs/>
                <w:kern w:val="0"/>
                <w:sz w:val="24"/>
                <w:szCs w:val="24"/>
              </w:rPr>
              <w:t>商务部分评分PB</w:t>
            </w:r>
          </w:p>
        </w:tc>
        <w:tc>
          <w:tcPr>
            <w:tcW w:w="74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18</w:t>
            </w:r>
          </w:p>
        </w:tc>
        <w:tc>
          <w:tcPr>
            <w:tcW w:w="660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jc w:val="left"/>
              <w:rPr>
                <w:rFonts w:hint="eastAsia" w:ascii="宋体" w:hAnsi="宋体" w:cs="宋体"/>
                <w:sz w:val="24"/>
                <w:szCs w:val="24"/>
              </w:rPr>
            </w:pPr>
            <w:r>
              <w:rPr>
                <w:rFonts w:hint="eastAsia" w:ascii="宋体" w:hAnsi="宋体" w:cs="宋体"/>
                <w:sz w:val="24"/>
                <w:szCs w:val="24"/>
              </w:rPr>
              <w:t>根据供应商的售后服务、技术支持能力、维护费用与承诺优劣进行综合比较评价：</w:t>
            </w:r>
          </w:p>
          <w:p>
            <w:pPr>
              <w:jc w:val="left"/>
              <w:rPr>
                <w:rFonts w:hint="eastAsia" w:ascii="宋体" w:hAnsi="宋体" w:cs="宋体"/>
                <w:sz w:val="24"/>
                <w:szCs w:val="24"/>
              </w:rPr>
            </w:pPr>
            <w:r>
              <w:rPr>
                <w:rFonts w:hint="eastAsia" w:ascii="宋体" w:hAnsi="宋体" w:cs="宋体"/>
                <w:sz w:val="24"/>
                <w:szCs w:val="24"/>
              </w:rPr>
              <w:t>1、售后服务保障体系及措施完善，技术支持能力强，服务响应快，响应程度高或优于采购需求的，得4-</w:t>
            </w:r>
            <w:r>
              <w:rPr>
                <w:rFonts w:hint="eastAsia" w:ascii="宋体" w:hAnsi="宋体" w:cs="宋体"/>
                <w:sz w:val="24"/>
                <w:szCs w:val="24"/>
                <w:lang w:val="en-US" w:eastAsia="zh-CN"/>
              </w:rPr>
              <w:t>6</w:t>
            </w:r>
            <w:r>
              <w:rPr>
                <w:rFonts w:hint="eastAsia" w:ascii="宋体" w:hAnsi="宋体" w:cs="宋体"/>
                <w:sz w:val="24"/>
                <w:szCs w:val="24"/>
              </w:rPr>
              <w:t>分。</w:t>
            </w:r>
          </w:p>
          <w:p>
            <w:pPr>
              <w:jc w:val="left"/>
              <w:rPr>
                <w:rFonts w:hint="eastAsia" w:ascii="宋体" w:hAnsi="宋体" w:cs="宋体"/>
                <w:sz w:val="24"/>
                <w:szCs w:val="24"/>
              </w:rPr>
            </w:pPr>
            <w:r>
              <w:rPr>
                <w:rFonts w:hint="eastAsia" w:ascii="宋体" w:hAnsi="宋体" w:cs="宋体"/>
                <w:sz w:val="24"/>
                <w:szCs w:val="24"/>
              </w:rPr>
              <w:t>2、售后服务保障体系及措施较好，技术支持能力较强，服务响应较快，满足采购需求，得2-3分。</w:t>
            </w:r>
          </w:p>
          <w:p>
            <w:pPr>
              <w:widowControl/>
              <w:jc w:val="left"/>
              <w:rPr>
                <w:rFonts w:hint="eastAsia" w:ascii="宋体" w:hAnsi="宋体" w:cs="宋体"/>
                <w:sz w:val="24"/>
                <w:szCs w:val="24"/>
              </w:rPr>
            </w:pPr>
            <w:r>
              <w:rPr>
                <w:rFonts w:hint="eastAsia" w:ascii="宋体" w:hAnsi="宋体" w:cs="宋体"/>
                <w:sz w:val="24"/>
                <w:szCs w:val="24"/>
              </w:rPr>
              <w:t>3、售后服务保障体系及措施基本符合招标要求，但技术支持能力和服务响应速度较差或一般，得0-1分。</w:t>
            </w:r>
          </w:p>
          <w:p>
            <w:pPr>
              <w:pStyle w:val="6"/>
              <w:ind w:firstLine="0"/>
              <w:jc w:val="left"/>
              <w:rPr>
                <w:rFonts w:hint="eastAsia" w:ascii="宋体" w:hAnsi="宋体" w:cs="宋体"/>
                <w:kern w:val="0"/>
                <w:sz w:val="24"/>
                <w:szCs w:val="24"/>
              </w:rPr>
            </w:pPr>
            <w:r>
              <w:rPr>
                <w:rFonts w:hint="eastAsia" w:ascii="宋体" w:hAnsi="宋体" w:cs="宋体"/>
                <w:kern w:val="0"/>
                <w:sz w:val="24"/>
                <w:szCs w:val="24"/>
              </w:rPr>
              <w:t>根据投标人2019年以来同类业绩经验评分：投标人每提供一个类似业绩合同项目得2分，满分6分。</w:t>
            </w:r>
          </w:p>
          <w:p>
            <w:pPr>
              <w:pStyle w:val="6"/>
              <w:ind w:firstLine="0"/>
              <w:jc w:val="left"/>
              <w:rPr>
                <w:rFonts w:hint="eastAsia" w:ascii="宋体" w:hAnsi="宋体" w:cs="宋体"/>
                <w:sz w:val="24"/>
                <w:szCs w:val="24"/>
              </w:rPr>
            </w:pPr>
            <w:r>
              <w:rPr>
                <w:rFonts w:hint="eastAsia" w:ascii="宋体" w:hAnsi="宋体" w:cs="宋体"/>
                <w:sz w:val="24"/>
                <w:szCs w:val="24"/>
              </w:rPr>
              <w:t>供应商通过ISO9001质量管理体系认证，ISO13485医疗器械质量管理体系认证，ISO27001信息安全管理体系认证，ISO20000信息技术服务管理体系认证，每提供1个得</w:t>
            </w:r>
            <w:r>
              <w:rPr>
                <w:rFonts w:hint="eastAsia" w:ascii="宋体" w:hAnsi="宋体" w:cs="宋体"/>
                <w:sz w:val="24"/>
                <w:szCs w:val="24"/>
                <w:lang w:val="en-US" w:eastAsia="zh-CN"/>
              </w:rPr>
              <w:t>2</w:t>
            </w:r>
            <w:r>
              <w:rPr>
                <w:rFonts w:hint="eastAsia" w:ascii="宋体" w:hAnsi="宋体" w:cs="宋体"/>
                <w:sz w:val="24"/>
                <w:szCs w:val="24"/>
              </w:rPr>
              <w:t>分，满分</w:t>
            </w:r>
            <w:r>
              <w:rPr>
                <w:rFonts w:hint="eastAsia" w:ascii="宋体" w:hAnsi="宋体" w:cs="宋体"/>
                <w:sz w:val="24"/>
                <w:szCs w:val="24"/>
                <w:lang w:val="en-US" w:eastAsia="zh-CN"/>
              </w:rPr>
              <w:t>6</w:t>
            </w:r>
            <w:r>
              <w:rPr>
                <w:rFonts w:hint="eastAsia" w:ascii="宋体" w:hAnsi="宋体" w:cs="宋体"/>
                <w:sz w:val="24"/>
                <w:szCs w:val="24"/>
              </w:rPr>
              <w:t>分。</w:t>
            </w:r>
          </w:p>
          <w:p>
            <w:pPr>
              <w:pStyle w:val="2"/>
              <w:ind w:left="0" w:leftChars="0" w:firstLine="0" w:firstLineChars="0"/>
              <w:jc w:val="left"/>
              <w:rPr>
                <w:rFonts w:hint="eastAsia"/>
              </w:rPr>
            </w:pPr>
          </w:p>
          <w:p>
            <w:pPr>
              <w:widowControl/>
              <w:jc w:val="left"/>
              <w:rPr>
                <w:rFonts w:hint="eastAsia" w:ascii="宋体" w:hAnsi="宋体" w:cs="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rHeight w:val="1610" w:hRule="atLeast"/>
        </w:trPr>
        <w:tc>
          <w:tcPr>
            <w:tcW w:w="187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rFonts w:ascii="宋体" w:hAnsi="宋体" w:cs="宋体"/>
                <w:b/>
                <w:bCs/>
                <w:kern w:val="0"/>
                <w:sz w:val="24"/>
                <w:szCs w:val="24"/>
              </w:rPr>
            </w:pPr>
            <w:r>
              <w:rPr>
                <w:rFonts w:ascii="宋体" w:hAnsi="宋体" w:cs="宋体"/>
                <w:b/>
                <w:bCs/>
                <w:kern w:val="0"/>
                <w:sz w:val="24"/>
                <w:szCs w:val="24"/>
              </w:rPr>
              <w:t>报价部分评分</w:t>
            </w:r>
          </w:p>
        </w:tc>
        <w:tc>
          <w:tcPr>
            <w:tcW w:w="74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30</w:t>
            </w:r>
          </w:p>
        </w:tc>
        <w:tc>
          <w:tcPr>
            <w:tcW w:w="660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before="100" w:beforeAutospacing="1" w:after="100" w:afterAutospacing="1" w:line="420" w:lineRule="atLeast"/>
              <w:ind w:firstLine="480"/>
              <w:jc w:val="left"/>
              <w:rPr>
                <w:rFonts w:ascii="宋体" w:hAnsi="宋体" w:cs="宋体"/>
                <w:kern w:val="0"/>
                <w:sz w:val="24"/>
                <w:szCs w:val="24"/>
              </w:rPr>
            </w:pPr>
            <w:r>
              <w:rPr>
                <w:rFonts w:ascii="宋体" w:hAnsi="宋体" w:cs="宋体"/>
                <w:kern w:val="0"/>
                <w:sz w:val="24"/>
                <w:szCs w:val="24"/>
              </w:rPr>
              <w:t>价格分采用低价优先法计算，即满足磋商文件要求且最后报价最低的供应商的价格为磋商基准价，其价格分为满分。其他供应商的价格分统一按照下列公式计算：磋商报价得分=（磋商基准价／最后磋商报价）×价格权值×</w:t>
            </w:r>
            <w:r>
              <w:rPr>
                <w:rFonts w:hint="eastAsia" w:ascii="宋体" w:hAnsi="宋体" w:cs="宋体"/>
                <w:kern w:val="0"/>
                <w:sz w:val="24"/>
                <w:szCs w:val="24"/>
                <w:lang w:val="en-US" w:eastAsia="zh-CN"/>
              </w:rPr>
              <w:t>3</w:t>
            </w:r>
            <w:r>
              <w:rPr>
                <w:rFonts w:hint="eastAsia" w:ascii="宋体" w:hAnsi="宋体" w:cs="宋体"/>
                <w:kern w:val="0"/>
                <w:sz w:val="24"/>
                <w:szCs w:val="24"/>
              </w:rPr>
              <w:t>0</w:t>
            </w:r>
            <w:r>
              <w:rPr>
                <w:rFonts w:ascii="宋体" w:hAnsi="宋体" w:cs="宋体"/>
                <w:kern w:val="0"/>
                <w:sz w:val="24"/>
                <w:szCs w:val="24"/>
              </w:rPr>
              <w:t>。因落实政府采购优惠政策需进行价格扣除的，以扣除后的价格计算磋商基准价和最后磋商报价</w:t>
            </w:r>
            <w:r>
              <w:rPr>
                <w:rFonts w:hint="eastAsia" w:ascii="宋体" w:hAnsi="宋体" w:cs="宋体"/>
                <w:kern w:val="0"/>
                <w:sz w:val="24"/>
                <w:szCs w:val="24"/>
              </w:rPr>
              <w:t>。</w:t>
            </w:r>
          </w:p>
          <w:p>
            <w:pPr>
              <w:widowControl/>
              <w:jc w:val="left"/>
              <w:rPr>
                <w:rFonts w:hint="eastAsia" w:ascii="宋体" w:hAnsi="宋体" w:cs="宋体"/>
                <w:sz w:val="24"/>
                <w:szCs w:val="24"/>
              </w:rPr>
            </w:pPr>
          </w:p>
        </w:tc>
      </w:tr>
    </w:tbl>
    <w:p>
      <w:pPr>
        <w:pStyle w:val="16"/>
        <w:jc w:val="left"/>
      </w:pPr>
    </w:p>
    <w:p>
      <w:pPr>
        <w:pStyle w:val="7"/>
        <w:jc w:val="left"/>
        <w:rPr>
          <w:rFonts w:hint="eastAsia" w:asciiTheme="minorEastAsia" w:hAnsiTheme="minorEastAsia"/>
          <w:sz w:val="28"/>
          <w:szCs w:val="28"/>
        </w:rPr>
      </w:pPr>
    </w:p>
    <w:sectPr>
      <w:headerReference r:id="rId3" w:type="default"/>
      <w:footerReference r:id="rId4" w:type="default"/>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chineseCountingThousand"/>
      <w:lvlText w:val="%1."/>
      <w:lvlJc w:val="left"/>
      <w:pPr>
        <w:tabs>
          <w:tab w:val="left" w:pos="785"/>
        </w:tabs>
        <w:ind w:left="785" w:hanging="360"/>
      </w:pPr>
      <w:rPr>
        <w:rFonts w:hint="eastAsia" w:cs="Times New Roman"/>
        <w:sz w:val="28"/>
        <w:szCs w:val="24"/>
      </w:rPr>
    </w:lvl>
    <w:lvl w:ilvl="1" w:tentative="0">
      <w:start w:val="0"/>
      <w:numFmt w:val="bullet"/>
      <w:lvlText w:val=""/>
      <w:lvlJc w:val="left"/>
      <w:pPr>
        <w:tabs>
          <w:tab w:val="left" w:pos="1205"/>
        </w:tabs>
        <w:ind w:left="1205" w:hanging="360"/>
      </w:pPr>
      <w:rPr>
        <w:rFonts w:hint="default" w:ascii="Symbol" w:hAnsi="Symbol" w:eastAsia="Times New Roman"/>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045"/>
        </w:tabs>
        <w:ind w:left="2045" w:hanging="360"/>
      </w:pPr>
      <w:rPr>
        <w:rFonts w:hint="eastAsia" w:ascii="宋体" w:hAnsi="宋体" w:eastAsia="Times New Roman"/>
      </w:rPr>
    </w:lvl>
    <w:lvl w:ilvl="4" w:tentative="0">
      <w:start w:val="1"/>
      <w:numFmt w:val="japaneseCounting"/>
      <w:lvlText w:val="%5，"/>
      <w:lvlJc w:val="left"/>
      <w:pPr>
        <w:tabs>
          <w:tab w:val="left" w:pos="2525"/>
        </w:tabs>
        <w:ind w:left="2525" w:hanging="420"/>
      </w:pPr>
      <w:rPr>
        <w:rFonts w:ascii="Times New Roman" w:hAnsi="Times New Roman" w:eastAsia="Times New Roman" w:cs="Times New Roman"/>
      </w:rPr>
    </w:lvl>
    <w:lvl w:ilvl="5" w:tentative="0">
      <w:start w:val="1"/>
      <w:numFmt w:val="decimal"/>
      <w:lvlText w:val="（%6）"/>
      <w:lvlJc w:val="left"/>
      <w:pPr>
        <w:tabs>
          <w:tab w:val="left" w:pos="3245"/>
        </w:tabs>
        <w:ind w:left="3245" w:hanging="720"/>
      </w:pPr>
      <w:rPr>
        <w:rFonts w:hint="default" w:cs="Times New Roman"/>
      </w:rPr>
    </w:lvl>
    <w:lvl w:ilvl="6" w:tentative="0">
      <w:start w:val="1"/>
      <w:numFmt w:val="decimal"/>
      <w:lvlText w:val="%7、"/>
      <w:lvlJc w:val="left"/>
      <w:pPr>
        <w:tabs>
          <w:tab w:val="left" w:pos="3305"/>
        </w:tabs>
        <w:ind w:left="3305" w:hanging="360"/>
      </w:pPr>
      <w:rPr>
        <w:rFonts w:hint="default" w:cs="Times New Roman"/>
      </w:rPr>
    </w:lvl>
    <w:lvl w:ilvl="7" w:tentative="0">
      <w:start w:val="1"/>
      <w:numFmt w:val="lowerLetter"/>
      <w:lvlText w:val="%8)"/>
      <w:lvlJc w:val="left"/>
      <w:pPr>
        <w:tabs>
          <w:tab w:val="left" w:pos="3785"/>
        </w:tabs>
        <w:ind w:left="3785" w:hanging="420"/>
      </w:pPr>
      <w:rPr>
        <w:rFonts w:cs="Times New Roman"/>
      </w:rPr>
    </w:lvl>
    <w:lvl w:ilvl="8" w:tentative="0">
      <w:start w:val="1"/>
      <w:numFmt w:val="lowerRoman"/>
      <w:lvlText w:val="%9."/>
      <w:lvlJc w:val="right"/>
      <w:pPr>
        <w:tabs>
          <w:tab w:val="left" w:pos="4205"/>
        </w:tabs>
        <w:ind w:left="4205" w:hanging="420"/>
      </w:pPr>
      <w:rPr>
        <w:rFonts w:cs="Times New Roman"/>
      </w:rPr>
    </w:lvl>
  </w:abstractNum>
  <w:abstractNum w:abstractNumId="1">
    <w:nsid w:val="780F2EA6"/>
    <w:multiLevelType w:val="multilevel"/>
    <w:tmpl w:val="780F2EA6"/>
    <w:lvl w:ilvl="0" w:tentative="0">
      <w:start w:val="1"/>
      <w:numFmt w:val="decimal"/>
      <w:lvlText w:val="%1、"/>
      <w:lvlJc w:val="left"/>
      <w:pPr>
        <w:ind w:left="840" w:hanging="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zOGEzYzZlNTFjODM1YTFkNDA2YTVjODVjNTY2ZDUifQ=="/>
  </w:docVars>
  <w:rsids>
    <w:rsidRoot w:val="72227D4F"/>
    <w:rsid w:val="000C4DE0"/>
    <w:rsid w:val="00237F79"/>
    <w:rsid w:val="002812B2"/>
    <w:rsid w:val="002B0183"/>
    <w:rsid w:val="00371CDB"/>
    <w:rsid w:val="003A6BDB"/>
    <w:rsid w:val="00510277"/>
    <w:rsid w:val="006A016C"/>
    <w:rsid w:val="006A794E"/>
    <w:rsid w:val="007553E5"/>
    <w:rsid w:val="00886DC2"/>
    <w:rsid w:val="00997E42"/>
    <w:rsid w:val="00A0757D"/>
    <w:rsid w:val="00A81EE7"/>
    <w:rsid w:val="00AF34EF"/>
    <w:rsid w:val="00C13DC8"/>
    <w:rsid w:val="00C425E5"/>
    <w:rsid w:val="00D07679"/>
    <w:rsid w:val="00DB08A3"/>
    <w:rsid w:val="029E253F"/>
    <w:rsid w:val="02A7707D"/>
    <w:rsid w:val="06AA60DA"/>
    <w:rsid w:val="0EEE5B00"/>
    <w:rsid w:val="136A66E7"/>
    <w:rsid w:val="19993223"/>
    <w:rsid w:val="1C294A4D"/>
    <w:rsid w:val="2E024D18"/>
    <w:rsid w:val="30EC0CA7"/>
    <w:rsid w:val="5DDA560A"/>
    <w:rsid w:val="5DFE8AF5"/>
    <w:rsid w:val="6DD0715F"/>
    <w:rsid w:val="72227D4F"/>
    <w:rsid w:val="755E7F99"/>
    <w:rsid w:val="763F6058"/>
    <w:rsid w:val="76756927"/>
    <w:rsid w:val="784A10A7"/>
    <w:rsid w:val="7AF5533A"/>
    <w:rsid w:val="7F7144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line="360" w:lineRule="auto"/>
      <w:ind w:firstLine="420" w:firstLineChars="200"/>
      <w:outlineLvl w:val="0"/>
    </w:pPr>
    <w:rPr>
      <w:color w:val="000000"/>
      <w:szCs w:val="24"/>
    </w:rPr>
  </w:style>
  <w:style w:type="paragraph" w:styleId="6">
    <w:name w:val="Normal Indent"/>
    <w:basedOn w:val="1"/>
    <w:qFormat/>
    <w:uiPriority w:val="0"/>
    <w:pPr>
      <w:ind w:firstLine="420" w:firstLineChars="200"/>
    </w:pPr>
  </w:style>
  <w:style w:type="paragraph" w:styleId="7">
    <w:name w:val="Body Text"/>
    <w:basedOn w:val="1"/>
    <w:unhideWhenUsed/>
    <w:qFormat/>
    <w:uiPriority w:val="99"/>
    <w:pPr>
      <w:spacing w:after="120"/>
    </w:p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字符"/>
    <w:basedOn w:val="12"/>
    <w:link w:val="9"/>
    <w:qFormat/>
    <w:uiPriority w:val="0"/>
    <w:rPr>
      <w:rFonts w:asciiTheme="minorHAnsi" w:hAnsiTheme="minorHAnsi" w:eastAsiaTheme="minorEastAsia" w:cstheme="minorBidi"/>
      <w:kern w:val="2"/>
      <w:sz w:val="18"/>
      <w:szCs w:val="18"/>
    </w:rPr>
  </w:style>
  <w:style w:type="character" w:customStyle="1" w:styleId="14">
    <w:name w:val="页脚 字符"/>
    <w:basedOn w:val="12"/>
    <w:link w:val="8"/>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paragraph" w:customStyle="1" w:styleId="16">
    <w:name w:val="正文缩进1"/>
    <w:basedOn w:val="1"/>
    <w:qFormat/>
    <w:uiPriority w:val="0"/>
    <w:pPr>
      <w:widowControl/>
      <w:ind w:firstLine="420"/>
      <w:jc w:val="left"/>
    </w:pPr>
    <w:rPr>
      <w:kern w:val="0"/>
    </w:rPr>
  </w:style>
  <w:style w:type="table" w:customStyle="1" w:styleId="17">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3771</Words>
  <Characters>3960</Characters>
  <Lines>33</Lines>
  <Paragraphs>9</Paragraphs>
  <TotalTime>17</TotalTime>
  <ScaleCrop>false</ScaleCrop>
  <LinksUpToDate>false</LinksUpToDate>
  <CharactersWithSpaces>3999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2021-12-07T09:48:00Z</dcterms:created>
  <dc:creator>Administrator</dc:creator>
  <cp:lastModifiedBy>涛哥</cp:lastModifiedBy>
  <cp:lastPrinted>2023-05-08T03:29:16Z</cp:lastPrinted>
  <dcterms:modified xsi:type="dcterms:W3CDTF">2023-05-08T03:45:07Z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32F2ADF46C9D4EEB82FD2E1163CEEC04_13</vt:lpwstr>
  </property>
</Properties>
</file>