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default"/>
          <w:b/>
          <w:bCs/>
          <w:color w:val="000000"/>
          <w:szCs w:val="24"/>
          <w:lang w:val="en-US" w:eastAsia="zh-CN"/>
        </w:rPr>
      </w:pPr>
      <w:r>
        <w:rPr>
          <w:rFonts w:hint="eastAsia"/>
          <w:b/>
          <w:bCs/>
          <w:color w:val="000000"/>
          <w:szCs w:val="24"/>
          <w:lang w:val="en-US" w:eastAsia="zh-CN"/>
        </w:rPr>
        <w:t>参数要求</w:t>
      </w:r>
    </w:p>
    <w:p>
      <w:pPr>
        <w:widowControl/>
        <w:numPr>
          <w:ilvl w:val="0"/>
          <w:numId w:val="3"/>
        </w:numPr>
        <w:ind w:firstLine="0" w:firstLineChars="0"/>
        <w:jc w:val="left"/>
        <w:rPr>
          <w:rFonts w:hint="eastAsia"/>
          <w:b/>
          <w:bCs/>
          <w:color w:val="000000"/>
          <w:szCs w:val="24"/>
          <w:lang w:val="en-US" w:eastAsia="zh-CN"/>
        </w:rPr>
      </w:pPr>
      <w:r>
        <w:rPr>
          <w:rFonts w:hint="eastAsia"/>
          <w:b/>
          <w:bCs/>
          <w:color w:val="000000"/>
          <w:szCs w:val="24"/>
          <w:lang w:val="en-US" w:eastAsia="zh-CN"/>
        </w:rPr>
        <w:t>交换机（1套）</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3" w:hRule="atLeast"/>
        </w:trPr>
        <w:tc>
          <w:tcPr>
            <w:tcW w:w="1351" w:type="dxa"/>
            <w:vAlign w:val="center"/>
          </w:tcPr>
          <w:p>
            <w:pPr>
              <w:widowControl/>
              <w:numPr>
                <w:ilvl w:val="0"/>
                <w:numId w:val="0"/>
              </w:numPr>
              <w:jc w:val="left"/>
              <w:rPr>
                <w:rFonts w:hint="default"/>
                <w:b/>
                <w:bCs/>
                <w:color w:val="000000"/>
                <w:szCs w:val="24"/>
                <w:vertAlign w:val="baseline"/>
                <w:lang w:val="en-US" w:eastAsia="zh-CN"/>
              </w:rPr>
            </w:pPr>
            <w:r>
              <w:rPr>
                <w:rFonts w:hint="eastAsia"/>
                <w:b/>
                <w:bCs/>
                <w:color w:val="000000"/>
                <w:szCs w:val="24"/>
                <w:vertAlign w:val="baseline"/>
                <w:lang w:val="en-US" w:eastAsia="zh-CN"/>
              </w:rPr>
              <w:t>技术要求</w:t>
            </w:r>
          </w:p>
        </w:tc>
        <w:tc>
          <w:tcPr>
            <w:tcW w:w="7171" w:type="dxa"/>
          </w:tcPr>
          <w:p>
            <w:pPr>
              <w:widowControl/>
              <w:numPr>
                <w:ilvl w:val="0"/>
                <w:numId w:val="0"/>
              </w:numPr>
              <w:jc w:val="left"/>
              <w:rPr>
                <w:rFonts w:hint="eastAsia"/>
                <w:b/>
                <w:bCs/>
                <w:color w:val="000000"/>
                <w:szCs w:val="24"/>
                <w:vertAlign w:val="baseline"/>
                <w:lang w:val="en-US" w:eastAsia="zh-CN"/>
              </w:rPr>
            </w:pPr>
            <w:r>
              <w:rPr>
                <w:rFonts w:hint="eastAsia" w:asciiTheme="minorHAnsi" w:hAnsiTheme="minorHAnsi" w:eastAsiaTheme="minorEastAsia" w:cstheme="minorBidi"/>
                <w:b/>
                <w:bCs/>
                <w:color w:val="000000"/>
                <w:kern w:val="2"/>
                <w:sz w:val="24"/>
                <w:szCs w:val="24"/>
                <w:vertAlign w:val="baseline"/>
                <w:lang w:val="en-US" w:eastAsia="zh-CN" w:bidi="ar-SA"/>
              </w:rPr>
              <w:t>1、</w:t>
            </w:r>
            <w:r>
              <w:rPr>
                <w:rFonts w:hint="eastAsia"/>
                <w:color w:val="000000"/>
                <w:szCs w:val="24"/>
              </w:rPr>
              <w:t>★</w:t>
            </w:r>
            <w:r>
              <w:rPr>
                <w:rFonts w:hint="eastAsia"/>
                <w:b/>
                <w:bCs/>
                <w:color w:val="000000"/>
                <w:szCs w:val="24"/>
                <w:vertAlign w:val="baseline"/>
                <w:lang w:val="en-US" w:eastAsia="zh-CN"/>
              </w:rPr>
              <w:t>整机提供≥48个10/100/1000BASE-T电口,支持4个1G/10G BASE-X SFP+端口，含配套光模块。</w:t>
            </w:r>
          </w:p>
          <w:p>
            <w:pPr>
              <w:widowControl/>
              <w:numPr>
                <w:ilvl w:val="0"/>
                <w:numId w:val="0"/>
              </w:numPr>
              <w:jc w:val="left"/>
              <w:rPr>
                <w:rFonts w:hint="eastAsia"/>
                <w:b/>
                <w:bCs/>
                <w:color w:val="000000"/>
                <w:szCs w:val="24"/>
                <w:vertAlign w:val="baseline"/>
                <w:lang w:val="en-US" w:eastAsia="zh-CN"/>
              </w:rPr>
            </w:pPr>
            <w:r>
              <w:rPr>
                <w:rFonts w:hint="eastAsia"/>
                <w:b/>
                <w:bCs/>
                <w:color w:val="000000"/>
                <w:szCs w:val="24"/>
                <w:vertAlign w:val="baseline"/>
                <w:lang w:val="en-US" w:eastAsia="zh-CN"/>
              </w:rPr>
              <w:t>2、</w:t>
            </w:r>
            <w:r>
              <w:rPr>
                <w:rFonts w:hint="eastAsia"/>
                <w:color w:val="000000"/>
                <w:szCs w:val="24"/>
              </w:rPr>
              <w:t>★</w:t>
            </w:r>
            <w:r>
              <w:rPr>
                <w:rFonts w:hint="eastAsia"/>
                <w:b/>
                <w:bCs/>
                <w:color w:val="000000"/>
                <w:szCs w:val="24"/>
                <w:vertAlign w:val="baseline"/>
                <w:lang w:val="en-US" w:eastAsia="zh-CN"/>
              </w:rPr>
              <w:t>交换容量≥596Gbps，包转发率≥222Mpps。</w:t>
            </w:r>
          </w:p>
          <w:p>
            <w:pPr>
              <w:widowControl/>
              <w:numPr>
                <w:ilvl w:val="0"/>
                <w:numId w:val="0"/>
              </w:numPr>
              <w:jc w:val="left"/>
              <w:rPr>
                <w:rFonts w:hint="eastAsia"/>
                <w:b/>
                <w:bCs/>
                <w:color w:val="000000"/>
                <w:szCs w:val="24"/>
                <w:vertAlign w:val="baseline"/>
                <w:lang w:val="en-US" w:eastAsia="zh-CN"/>
              </w:rPr>
            </w:pPr>
            <w:r>
              <w:rPr>
                <w:rFonts w:hint="eastAsia"/>
                <w:b/>
                <w:bCs/>
                <w:color w:val="000000"/>
                <w:szCs w:val="24"/>
                <w:vertAlign w:val="baseline"/>
                <w:lang w:val="en-US" w:eastAsia="zh-CN"/>
              </w:rPr>
              <w:t>3、支持GE端口聚合，支持10GE端口聚合。</w:t>
            </w:r>
          </w:p>
          <w:p>
            <w:pPr>
              <w:widowControl/>
              <w:numPr>
                <w:ilvl w:val="0"/>
                <w:numId w:val="0"/>
              </w:numPr>
              <w:jc w:val="left"/>
              <w:rPr>
                <w:rFonts w:hint="eastAsia"/>
                <w:b/>
                <w:bCs/>
                <w:color w:val="000000"/>
                <w:szCs w:val="24"/>
                <w:vertAlign w:val="baseline"/>
                <w:lang w:val="en-US" w:eastAsia="zh-CN"/>
              </w:rPr>
            </w:pPr>
            <w:r>
              <w:rPr>
                <w:rFonts w:hint="eastAsia"/>
                <w:b/>
                <w:bCs/>
                <w:color w:val="000000"/>
                <w:szCs w:val="24"/>
                <w:vertAlign w:val="baseline"/>
                <w:lang w:val="en-US" w:eastAsia="zh-CN"/>
              </w:rPr>
              <w:t>4、</w:t>
            </w:r>
            <w:r>
              <w:rPr>
                <w:rFonts w:hint="eastAsia"/>
                <w:color w:val="000000"/>
                <w:szCs w:val="24"/>
              </w:rPr>
              <w:t>★</w:t>
            </w:r>
            <w:r>
              <w:rPr>
                <w:rFonts w:hint="eastAsia"/>
                <w:b/>
                <w:bCs/>
                <w:color w:val="000000"/>
                <w:szCs w:val="24"/>
                <w:vertAlign w:val="baseline"/>
                <w:lang w:val="en-US" w:eastAsia="zh-CN"/>
              </w:rPr>
              <w:t>支持IPv4/IPv6静态路由，支持RIP/RIPng，OSPFV1/V2/V3。</w:t>
            </w:r>
          </w:p>
          <w:p>
            <w:pPr>
              <w:widowControl/>
              <w:numPr>
                <w:ilvl w:val="0"/>
                <w:numId w:val="0"/>
              </w:numPr>
              <w:jc w:val="left"/>
              <w:rPr>
                <w:rFonts w:hint="eastAsia"/>
                <w:b/>
                <w:bCs/>
                <w:color w:val="000000"/>
                <w:szCs w:val="24"/>
                <w:vertAlign w:val="baseline"/>
                <w:lang w:val="en-US" w:eastAsia="zh-CN"/>
              </w:rPr>
            </w:pPr>
            <w:r>
              <w:rPr>
                <w:rFonts w:hint="eastAsia"/>
                <w:b/>
                <w:bCs/>
                <w:color w:val="000000"/>
                <w:szCs w:val="24"/>
                <w:vertAlign w:val="baseline"/>
                <w:lang w:val="en-US" w:eastAsia="zh-CN"/>
              </w:rPr>
              <w:t>5、支持包过滤功能，支持SP/WRR/SP+WRR队列调度。</w:t>
            </w:r>
          </w:p>
          <w:p>
            <w:pPr>
              <w:widowControl/>
              <w:numPr>
                <w:ilvl w:val="0"/>
                <w:numId w:val="0"/>
              </w:numPr>
              <w:jc w:val="left"/>
              <w:rPr>
                <w:rFonts w:hint="default"/>
                <w:b/>
                <w:bCs/>
                <w:color w:val="000000"/>
                <w:szCs w:val="24"/>
                <w:vertAlign w:val="baseline"/>
                <w:lang w:val="en-US" w:eastAsia="zh-CN"/>
              </w:rPr>
            </w:pPr>
            <w:r>
              <w:rPr>
                <w:rFonts w:hint="eastAsia"/>
                <w:b/>
                <w:bCs/>
                <w:color w:val="000000"/>
                <w:szCs w:val="24"/>
                <w:vertAlign w:val="baseline"/>
                <w:lang w:val="en-US" w:eastAsia="zh-CN"/>
              </w:rPr>
              <w:t>6、</w:t>
            </w:r>
            <w:r>
              <w:rPr>
                <w:rFonts w:hint="eastAsia"/>
                <w:color w:val="000000"/>
                <w:szCs w:val="24"/>
              </w:rPr>
              <w:t>★</w:t>
            </w:r>
            <w:r>
              <w:rPr>
                <w:rFonts w:hint="eastAsia"/>
                <w:b/>
                <w:bCs/>
                <w:color w:val="000000"/>
                <w:szCs w:val="24"/>
                <w:vertAlign w:val="baseline"/>
                <w:lang w:val="en-US" w:eastAsia="zh-CN"/>
              </w:rPr>
              <w:t>提供原厂售后服务承诺函，质保不低于1年。</w:t>
            </w:r>
          </w:p>
        </w:tc>
      </w:tr>
    </w:tbl>
    <w:p>
      <w:pPr>
        <w:ind w:firstLine="0" w:firstLineChars="0"/>
      </w:pPr>
    </w:p>
    <w:p>
      <w:pPr>
        <w:ind w:firstLine="0" w:firstLineChars="0"/>
      </w:pPr>
    </w:p>
    <w:p>
      <w:pPr>
        <w:widowControl/>
        <w:ind w:firstLine="0" w:firstLineChars="0"/>
        <w:jc w:val="both"/>
        <w:rPr>
          <w:rFonts w:hint="default" w:eastAsiaTheme="minorEastAsia"/>
          <w:b/>
          <w:bCs/>
          <w:color w:val="000000"/>
          <w:szCs w:val="24"/>
          <w:lang w:val="en-US" w:eastAsia="zh-CN"/>
        </w:rPr>
      </w:pPr>
      <w:r>
        <w:rPr>
          <w:rFonts w:hint="eastAsia"/>
          <w:b/>
          <w:bCs/>
          <w:color w:val="000000"/>
          <w:szCs w:val="24"/>
          <w:lang w:val="en-US" w:eastAsia="zh-CN"/>
        </w:rPr>
        <w:t>评分办法</w:t>
      </w:r>
    </w:p>
    <w:tbl>
      <w:tblPr>
        <w:tblStyle w:val="14"/>
        <w:tblW w:w="8500" w:type="dxa"/>
        <w:jc w:val="center"/>
        <w:tblInd w:w="0" w:type="dxa"/>
        <w:tblLayout w:type="fixed"/>
        <w:tblCellMar>
          <w:top w:w="0" w:type="dxa"/>
          <w:left w:w="108" w:type="dxa"/>
          <w:bottom w:w="0" w:type="dxa"/>
          <w:right w:w="108" w:type="dxa"/>
        </w:tblCellMar>
      </w:tblPr>
      <w:tblGrid>
        <w:gridCol w:w="425"/>
        <w:gridCol w:w="1134"/>
        <w:gridCol w:w="846"/>
        <w:gridCol w:w="4820"/>
        <w:gridCol w:w="1275"/>
      </w:tblGrid>
      <w:tr>
        <w:tblPrEx>
          <w:tblLayout w:type="fixed"/>
          <w:tblCellMar>
            <w:top w:w="0" w:type="dxa"/>
            <w:left w:w="108" w:type="dxa"/>
            <w:bottom w:w="0" w:type="dxa"/>
            <w:right w:w="108" w:type="dxa"/>
          </w:tblCellMar>
        </w:tblPrEx>
        <w:trPr>
          <w:trHeight w:val="66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序号</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评分因素及权重</w:t>
            </w:r>
          </w:p>
        </w:tc>
        <w:tc>
          <w:tcPr>
            <w:tcW w:w="84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分值</w:t>
            </w: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评分标准</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说明</w:t>
            </w:r>
          </w:p>
        </w:tc>
      </w:tr>
      <w:tr>
        <w:tblPrEx>
          <w:tblLayout w:type="fixed"/>
          <w:tblCellMar>
            <w:top w:w="0" w:type="dxa"/>
            <w:left w:w="108" w:type="dxa"/>
            <w:bottom w:w="0" w:type="dxa"/>
            <w:right w:w="108" w:type="dxa"/>
          </w:tblCellMar>
        </w:tblPrEx>
        <w:trPr>
          <w:trHeight w:val="1101" w:hRule="atLeast"/>
          <w:jc w:val="center"/>
        </w:trPr>
        <w:tc>
          <w:tcPr>
            <w:tcW w:w="425" w:type="dxa"/>
            <w:tcBorders>
              <w:top w:val="nil"/>
              <w:left w:val="single" w:color="auto" w:sz="4" w:space="0"/>
              <w:bottom w:val="nil"/>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1</w:t>
            </w:r>
          </w:p>
        </w:tc>
        <w:tc>
          <w:tcPr>
            <w:tcW w:w="1134" w:type="dxa"/>
            <w:tcBorders>
              <w:top w:val="nil"/>
              <w:left w:val="nil"/>
              <w:bottom w:val="nil"/>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报价</w:t>
            </w:r>
            <w:r>
              <w:rPr>
                <w:rFonts w:hint="eastAsia"/>
                <w:color w:val="000000"/>
                <w:szCs w:val="24"/>
                <w:lang w:val="en-US" w:eastAsia="zh-CN"/>
              </w:rPr>
              <w:t>30</w:t>
            </w:r>
            <w:r>
              <w:rPr>
                <w:rFonts w:hint="eastAsia"/>
                <w:color w:val="000000"/>
                <w:szCs w:val="24"/>
              </w:rPr>
              <w:t>%</w:t>
            </w:r>
          </w:p>
        </w:tc>
        <w:tc>
          <w:tcPr>
            <w:tcW w:w="84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color w:val="000000"/>
                <w:szCs w:val="24"/>
              </w:rPr>
              <w:t>30</w:t>
            </w:r>
            <w:r>
              <w:rPr>
                <w:rFonts w:hint="eastAsia"/>
                <w:color w:val="000000"/>
                <w:szCs w:val="24"/>
              </w:rPr>
              <w:t>分</w:t>
            </w:r>
          </w:p>
        </w:tc>
        <w:tc>
          <w:tcPr>
            <w:tcW w:w="4820" w:type="dxa"/>
            <w:tcBorders>
              <w:top w:val="single" w:color="auto" w:sz="4" w:space="0"/>
              <w:left w:val="nil"/>
              <w:bottom w:val="single" w:color="auto" w:sz="4" w:space="0"/>
              <w:right w:val="single" w:color="auto" w:sz="4" w:space="0"/>
            </w:tcBorders>
            <w:vAlign w:val="center"/>
          </w:tcPr>
          <w:p>
            <w:pPr>
              <w:ind w:firstLine="0" w:firstLineChars="0"/>
              <w:rPr>
                <w:rFonts w:hAnsi="宋体" w:cs="宋体"/>
                <w:color w:val="000000"/>
                <w:szCs w:val="24"/>
              </w:rPr>
            </w:pPr>
            <w:r>
              <w:rPr>
                <w:rFonts w:hint="eastAsia"/>
                <w:color w:val="000000"/>
                <w:szCs w:val="24"/>
              </w:rPr>
              <w:t>满足招标文件要求且所有投标价格的平均报价为评标基准价，其价格分为满分。其他投标人的价格分统一按照下列公式计算：投标报价得分=(评标基准价／投标报价)×30%×100；</w:t>
            </w:r>
          </w:p>
        </w:tc>
        <w:tc>
          <w:tcPr>
            <w:tcW w:w="1275" w:type="dxa"/>
            <w:tcBorders>
              <w:top w:val="nil"/>
              <w:left w:val="nil"/>
              <w:bottom w:val="single" w:color="auto" w:sz="4" w:space="0"/>
              <w:right w:val="single" w:color="auto" w:sz="4" w:space="0"/>
            </w:tcBorders>
            <w:vAlign w:val="center"/>
          </w:tcPr>
          <w:p>
            <w:pPr>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80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2</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r>
              <w:rPr>
                <w:rFonts w:hint="eastAsia"/>
                <w:color w:val="000000"/>
                <w:szCs w:val="24"/>
              </w:rPr>
              <w:t>技术要求</w:t>
            </w:r>
            <w:r>
              <w:rPr>
                <w:color w:val="000000"/>
                <w:szCs w:val="24"/>
              </w:rPr>
              <w:t>2</w:t>
            </w:r>
            <w:r>
              <w:rPr>
                <w:rFonts w:hint="eastAsia"/>
                <w:color w:val="000000"/>
                <w:szCs w:val="24"/>
                <w:lang w:val="en-US" w:eastAsia="zh-CN"/>
              </w:rPr>
              <w:t>5</w:t>
            </w:r>
            <w:r>
              <w:rPr>
                <w:rFonts w:hint="eastAsia"/>
                <w:color w:val="000000"/>
                <w:szCs w:val="24"/>
              </w:rPr>
              <w:t>%</w:t>
            </w:r>
          </w:p>
        </w:tc>
        <w:tc>
          <w:tcPr>
            <w:tcW w:w="84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cs="宋体"/>
                <w:color w:val="000000"/>
                <w:szCs w:val="24"/>
              </w:rPr>
            </w:pPr>
            <w:r>
              <w:rPr>
                <w:color w:val="000000"/>
                <w:szCs w:val="24"/>
              </w:rPr>
              <w:t>2</w:t>
            </w:r>
            <w:r>
              <w:rPr>
                <w:rFonts w:hint="eastAsia"/>
                <w:color w:val="000000"/>
                <w:szCs w:val="24"/>
                <w:lang w:val="en-US" w:eastAsia="zh-CN"/>
              </w:rPr>
              <w:t>5</w:t>
            </w:r>
            <w:r>
              <w:rPr>
                <w:rFonts w:hint="eastAsia"/>
                <w:color w:val="000000"/>
                <w:szCs w:val="24"/>
              </w:rPr>
              <w:t>分</w:t>
            </w: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olor w:val="000000"/>
                <w:szCs w:val="24"/>
              </w:rPr>
            </w:pPr>
            <w:r>
              <w:rPr>
                <w:rFonts w:hint="eastAsia"/>
                <w:color w:val="000000"/>
                <w:szCs w:val="24"/>
              </w:rPr>
              <w:t>投标人提供的投标产品技术参数完全满足招标文件中技术参数及要求的得满分</w:t>
            </w:r>
            <w:r>
              <w:rPr>
                <w:rFonts w:hint="eastAsia"/>
                <w:color w:val="000000"/>
                <w:szCs w:val="24"/>
                <w:lang w:val="en-US" w:eastAsia="zh-CN"/>
              </w:rPr>
              <w:t>25</w:t>
            </w:r>
            <w:r>
              <w:rPr>
                <w:rFonts w:hint="eastAsia"/>
                <w:color w:val="000000"/>
                <w:szCs w:val="24"/>
              </w:rPr>
              <w:t>分；所投产品的技术参数不满足招标文件技术参数及要求的，则在</w:t>
            </w:r>
            <w:r>
              <w:rPr>
                <w:rFonts w:hint="eastAsia"/>
                <w:color w:val="000000"/>
                <w:szCs w:val="24"/>
                <w:lang w:val="en-US" w:eastAsia="zh-CN"/>
              </w:rPr>
              <w:t>25</w:t>
            </w:r>
            <w:r>
              <w:rPr>
                <w:rFonts w:hint="eastAsia"/>
                <w:color w:val="000000"/>
                <w:szCs w:val="24"/>
              </w:rPr>
              <w:t>分的基础上，按以下原则扣分：</w:t>
            </w:r>
          </w:p>
          <w:p>
            <w:pPr>
              <w:widowControl/>
              <w:ind w:firstLine="0" w:firstLineChars="0"/>
              <w:rPr>
                <w:rFonts w:hint="eastAsia" w:eastAsiaTheme="minorEastAsia"/>
                <w:color w:val="000000"/>
                <w:szCs w:val="24"/>
                <w:lang w:eastAsia="zh-CN"/>
              </w:rPr>
            </w:pPr>
            <w:r>
              <w:rPr>
                <w:rFonts w:hint="eastAsia"/>
                <w:color w:val="000000"/>
                <w:szCs w:val="24"/>
              </w:rPr>
              <w:t>1、非“★”项参数不满足的，一项不满足扣</w:t>
            </w:r>
            <w:r>
              <w:rPr>
                <w:rFonts w:hint="eastAsia"/>
                <w:color w:val="000000"/>
                <w:szCs w:val="24"/>
                <w:lang w:val="en-US" w:eastAsia="zh-CN"/>
              </w:rPr>
              <w:t>2</w:t>
            </w:r>
            <w:r>
              <w:rPr>
                <w:rFonts w:hint="eastAsia"/>
                <w:color w:val="000000"/>
                <w:szCs w:val="24"/>
              </w:rPr>
              <w:t>分</w:t>
            </w:r>
            <w:r>
              <w:rPr>
                <w:rFonts w:hint="eastAsia"/>
                <w:color w:val="000000"/>
                <w:szCs w:val="24"/>
                <w:lang w:eastAsia="zh-CN"/>
              </w:rPr>
              <w:t>，</w:t>
            </w:r>
            <w:r>
              <w:rPr>
                <w:rFonts w:hint="eastAsia"/>
                <w:color w:val="000000"/>
                <w:szCs w:val="24"/>
              </w:rPr>
              <w:t>直至该项分值扣完为止</w:t>
            </w:r>
            <w:r>
              <w:rPr>
                <w:rFonts w:hint="eastAsia"/>
                <w:color w:val="000000"/>
                <w:szCs w:val="24"/>
                <w:lang w:eastAsia="zh-CN"/>
              </w:rPr>
              <w:t>；</w:t>
            </w:r>
          </w:p>
          <w:p>
            <w:pPr>
              <w:widowControl/>
              <w:ind w:firstLine="0" w:firstLineChars="0"/>
              <w:rPr>
                <w:rFonts w:hint="eastAsia" w:eastAsiaTheme="minorEastAsia"/>
                <w:color w:val="000000"/>
                <w:szCs w:val="24"/>
                <w:lang w:eastAsia="zh-CN"/>
              </w:rPr>
            </w:pPr>
            <w:r>
              <w:rPr>
                <w:rFonts w:hint="eastAsia"/>
                <w:color w:val="000000"/>
                <w:szCs w:val="24"/>
              </w:rPr>
              <w:t>2、“★”项参数不满足的，一项不满足扣</w:t>
            </w:r>
            <w:r>
              <w:rPr>
                <w:rFonts w:hint="eastAsia"/>
                <w:color w:val="000000"/>
                <w:szCs w:val="24"/>
                <w:lang w:val="en-US" w:eastAsia="zh-CN"/>
              </w:rPr>
              <w:t>5</w:t>
            </w:r>
            <w:r>
              <w:rPr>
                <w:rFonts w:hint="eastAsia"/>
                <w:color w:val="000000"/>
                <w:szCs w:val="24"/>
              </w:rPr>
              <w:t>分</w:t>
            </w:r>
            <w:r>
              <w:rPr>
                <w:rFonts w:hint="eastAsia"/>
                <w:color w:val="000000"/>
                <w:szCs w:val="24"/>
                <w:lang w:eastAsia="zh-CN"/>
              </w:rPr>
              <w:t>，</w:t>
            </w:r>
            <w:r>
              <w:rPr>
                <w:rFonts w:hint="eastAsia"/>
                <w:color w:val="000000"/>
                <w:szCs w:val="24"/>
              </w:rPr>
              <w:t>直至该项分值扣完为止</w:t>
            </w:r>
            <w:r>
              <w:rPr>
                <w:rFonts w:hint="eastAsia"/>
                <w:color w:val="000000"/>
                <w:szCs w:val="24"/>
                <w:lang w:eastAsia="zh-CN"/>
              </w:rPr>
              <w:t>。</w:t>
            </w:r>
          </w:p>
        </w:tc>
        <w:tc>
          <w:tcPr>
            <w:tcW w:w="1275" w:type="dxa"/>
            <w:tcBorders>
              <w:top w:val="nil"/>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1101" w:hRule="atLeast"/>
          <w:jc w:val="center"/>
        </w:trPr>
        <w:tc>
          <w:tcPr>
            <w:tcW w:w="42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3</w:t>
            </w:r>
          </w:p>
        </w:tc>
        <w:tc>
          <w:tcPr>
            <w:tcW w:w="1134" w:type="dxa"/>
            <w:vMerge w:val="restart"/>
            <w:tcBorders>
              <w:top w:val="single" w:color="auto" w:sz="4" w:space="0"/>
              <w:left w:val="nil"/>
              <w:right w:val="single" w:color="auto" w:sz="4" w:space="0"/>
            </w:tcBorders>
            <w:vAlign w:val="center"/>
          </w:tcPr>
          <w:p>
            <w:pPr>
              <w:widowControl/>
              <w:ind w:firstLine="0" w:firstLineChars="0"/>
              <w:jc w:val="center"/>
              <w:rPr>
                <w:rFonts w:hAnsi="宋体" w:cs="宋体"/>
                <w:color w:val="000000"/>
                <w:szCs w:val="24"/>
              </w:rPr>
            </w:pPr>
            <w:r>
              <w:rPr>
                <w:rFonts w:hint="eastAsia"/>
                <w:color w:val="000000"/>
                <w:szCs w:val="24"/>
              </w:rPr>
              <w:t>投标产品厂商综合实力</w:t>
            </w:r>
            <w:r>
              <w:rPr>
                <w:rFonts w:hint="eastAsia"/>
                <w:color w:val="000000"/>
                <w:szCs w:val="24"/>
                <w:lang w:val="en-US" w:eastAsia="zh-CN"/>
              </w:rPr>
              <w:t>30</w:t>
            </w:r>
            <w:r>
              <w:rPr>
                <w:rFonts w:hint="eastAsia"/>
                <w:color w:val="000000"/>
                <w:szCs w:val="24"/>
              </w:rPr>
              <w:t>%</w:t>
            </w:r>
          </w:p>
        </w:tc>
        <w:tc>
          <w:tcPr>
            <w:tcW w:w="846" w:type="dxa"/>
            <w:vMerge w:val="restart"/>
            <w:tcBorders>
              <w:top w:val="single" w:color="auto" w:sz="4" w:space="0"/>
              <w:left w:val="nil"/>
              <w:right w:val="single" w:color="auto" w:sz="4" w:space="0"/>
            </w:tcBorders>
            <w:vAlign w:val="center"/>
          </w:tcPr>
          <w:p>
            <w:pPr>
              <w:widowControl/>
              <w:ind w:firstLine="0" w:firstLineChars="0"/>
              <w:jc w:val="center"/>
              <w:rPr>
                <w:rFonts w:hAnsi="宋体" w:cs="宋体"/>
                <w:color w:val="000000"/>
                <w:szCs w:val="24"/>
              </w:rPr>
            </w:pPr>
            <w:r>
              <w:rPr>
                <w:color w:val="000000"/>
                <w:szCs w:val="24"/>
              </w:rPr>
              <w:t>3</w:t>
            </w:r>
            <w:r>
              <w:rPr>
                <w:rFonts w:hint="eastAsia"/>
                <w:color w:val="000000"/>
                <w:szCs w:val="24"/>
                <w:lang w:val="en-US" w:eastAsia="zh-CN"/>
              </w:rPr>
              <w:t>0</w:t>
            </w:r>
            <w:r>
              <w:rPr>
                <w:rFonts w:hint="eastAsia"/>
                <w:color w:val="000000"/>
                <w:szCs w:val="24"/>
              </w:rPr>
              <w:t>分</w:t>
            </w: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r>
              <w:rPr>
                <w:rFonts w:hint="eastAsia" w:hAnsi="宋体" w:cs="宋体"/>
                <w:color w:val="000000"/>
                <w:szCs w:val="24"/>
              </w:rPr>
              <w:t>1、</w:t>
            </w:r>
            <w:r>
              <w:rPr>
                <w:rFonts w:hint="eastAsia"/>
                <w:color w:val="000000"/>
                <w:szCs w:val="24"/>
              </w:rPr>
              <w:t>制造厂商须符合质量管理体系标准，以保障产品系统的高可靠性，通过ISO9001质量管理体系认证，提供证书复印件和国家认监委官网截图</w:t>
            </w:r>
            <w:r>
              <w:rPr>
                <w:rFonts w:hint="eastAsia"/>
                <w:color w:val="000000"/>
                <w:szCs w:val="24"/>
                <w:lang w:val="en-US" w:eastAsia="zh-CN"/>
              </w:rPr>
              <w:t>得6分</w:t>
            </w:r>
            <w:r>
              <w:rPr>
                <w:rFonts w:hint="eastAsia"/>
                <w:color w:val="000000"/>
                <w:szCs w:val="24"/>
              </w:rPr>
              <w:t>；</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1101" w:hRule="atLeast"/>
          <w:jc w:val="center"/>
        </w:trPr>
        <w:tc>
          <w:tcPr>
            <w:tcW w:w="425" w:type="dxa"/>
            <w:vMerge w:val="continue"/>
            <w:tcBorders>
              <w:left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1134"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846"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r>
              <w:rPr>
                <w:rFonts w:hint="eastAsia" w:hAnsi="宋体" w:cs="宋体"/>
                <w:color w:val="000000"/>
                <w:szCs w:val="24"/>
              </w:rPr>
              <w:t>2、为体现投标产品生产厂商的软件研发和管理实力，需获得CMMI（软件能力成熟度集成模型）认证，通过5级及以上得</w:t>
            </w:r>
            <w:r>
              <w:rPr>
                <w:rFonts w:hint="eastAsia" w:hAnsi="宋体" w:cs="宋体"/>
                <w:color w:val="000000"/>
                <w:szCs w:val="24"/>
                <w:lang w:val="en-US" w:eastAsia="zh-CN"/>
              </w:rPr>
              <w:t>6</w:t>
            </w:r>
            <w:r>
              <w:rPr>
                <w:rFonts w:hint="eastAsia" w:hAnsi="宋体" w:cs="宋体"/>
                <w:color w:val="000000"/>
                <w:szCs w:val="24"/>
              </w:rPr>
              <w:t>分，4级得</w:t>
            </w:r>
            <w:r>
              <w:rPr>
                <w:rFonts w:hint="eastAsia" w:hAnsi="宋体" w:cs="宋体"/>
                <w:color w:val="000000"/>
                <w:szCs w:val="24"/>
                <w:lang w:val="en-US" w:eastAsia="zh-CN"/>
              </w:rPr>
              <w:t>3</w:t>
            </w:r>
            <w:r>
              <w:rPr>
                <w:rFonts w:hint="eastAsia" w:hAnsi="宋体" w:cs="宋体"/>
                <w:color w:val="000000"/>
                <w:szCs w:val="24"/>
              </w:rPr>
              <w:t>分，其余不得分。要求提供证书复印件和官网截图并加盖设备厂商公章；</w:t>
            </w:r>
          </w:p>
        </w:tc>
        <w:tc>
          <w:tcPr>
            <w:tcW w:w="1275" w:type="dxa"/>
            <w:tcBorders>
              <w:top w:val="nil"/>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1237" w:hRule="atLeast"/>
          <w:jc w:val="center"/>
        </w:trPr>
        <w:tc>
          <w:tcPr>
            <w:tcW w:w="425" w:type="dxa"/>
            <w:vMerge w:val="continue"/>
            <w:tcBorders>
              <w:left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1134"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846"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r>
              <w:rPr>
                <w:rFonts w:hint="eastAsia" w:hAnsi="宋体" w:cs="宋体"/>
                <w:color w:val="000000"/>
                <w:szCs w:val="24"/>
              </w:rPr>
              <w:t>3、制造厂商须符合电信行业质量管理体系标准，以保障产品系统的高可靠性，通过TL9000电信行业质量管理体系认证</w:t>
            </w:r>
            <w:r>
              <w:rPr>
                <w:rFonts w:hint="eastAsia"/>
                <w:color w:val="000000"/>
                <w:szCs w:val="24"/>
                <w:lang w:val="en-US" w:eastAsia="zh-CN"/>
              </w:rPr>
              <w:t>得6分；</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585" w:hRule="atLeast"/>
          <w:jc w:val="center"/>
        </w:trPr>
        <w:tc>
          <w:tcPr>
            <w:tcW w:w="425" w:type="dxa"/>
            <w:vMerge w:val="continue"/>
            <w:tcBorders>
              <w:left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1134"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846" w:type="dxa"/>
            <w:vMerge w:val="continue"/>
            <w:tcBorders>
              <w:left w:val="nil"/>
              <w:right w:val="single" w:color="auto" w:sz="4" w:space="0"/>
            </w:tcBorders>
            <w:vAlign w:val="center"/>
          </w:tcPr>
          <w:p>
            <w:pPr>
              <w:widowControl/>
              <w:ind w:firstLine="0" w:firstLineChars="0"/>
              <w:jc w:val="left"/>
              <w:rPr>
                <w:rFonts w:hAnsi="宋体" w:cs="宋体"/>
                <w:color w:val="000000"/>
                <w:szCs w:val="24"/>
              </w:rPr>
            </w:pP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r>
              <w:rPr>
                <w:rFonts w:hint="eastAsia" w:hAnsi="宋体" w:cs="宋体"/>
                <w:color w:val="000000"/>
                <w:szCs w:val="24"/>
                <w:lang w:val="en-US" w:eastAsia="zh-CN"/>
              </w:rPr>
              <w:t>4、投标产品制造厂商需要对紧急情况产生的各种风险应作出快速和有效的反应，体现企业应急管理能力，需通过ISO 22320应急管理体系认证，满足得6分。要求提供证书复印件和国家认监委官网截图并加盖设备厂商公章；</w:t>
            </w:r>
          </w:p>
        </w:tc>
        <w:tc>
          <w:tcPr>
            <w:tcW w:w="1275" w:type="dxa"/>
            <w:tcBorders>
              <w:top w:val="single" w:color="auto" w:sz="4" w:space="0"/>
              <w:left w:val="nil"/>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584" w:hRule="atLeast"/>
          <w:jc w:val="center"/>
        </w:trPr>
        <w:tc>
          <w:tcPr>
            <w:tcW w:w="425"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1134" w:type="dxa"/>
            <w:vMerge w:val="continue"/>
            <w:tcBorders>
              <w:left w:val="nil"/>
              <w:bottom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846" w:type="dxa"/>
            <w:vMerge w:val="continue"/>
            <w:tcBorders>
              <w:left w:val="nil"/>
              <w:bottom w:val="single" w:color="auto" w:sz="4" w:space="0"/>
              <w:right w:val="single" w:color="auto" w:sz="4" w:space="0"/>
            </w:tcBorders>
            <w:vAlign w:val="center"/>
          </w:tcPr>
          <w:p>
            <w:pPr>
              <w:widowControl/>
              <w:ind w:firstLine="0" w:firstLineChars="0"/>
              <w:jc w:val="left"/>
              <w:rPr>
                <w:rFonts w:hAnsi="宋体" w:cs="宋体"/>
                <w:color w:val="000000"/>
                <w:szCs w:val="24"/>
              </w:rPr>
            </w:pP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color w:val="000000"/>
                <w:szCs w:val="24"/>
              </w:rPr>
            </w:pPr>
            <w:r>
              <w:rPr>
                <w:rFonts w:hint="eastAsia"/>
                <w:color w:val="000000"/>
                <w:szCs w:val="24"/>
                <w:lang w:val="en-US" w:eastAsia="zh-CN"/>
              </w:rPr>
              <w:t>5、为保证投标产品厂商在安全漏洞方面的整体研究水平和及时预防能力。具备网络安全漏洞统一收集验证、预警发布及应急处置体系，进而提高产品的安全性。产品生产厂商须进入国家信息安全漏洞共享平台（CNVD）技术组成员，满足得3分。进入中国国家信息安全漏洞库（CNNVD）一级技术支撑单位，满足得3分。要求提供证书复印件和官网截图；</w:t>
            </w:r>
          </w:p>
        </w:tc>
        <w:tc>
          <w:tcPr>
            <w:tcW w:w="1275" w:type="dxa"/>
            <w:tcBorders>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246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Ansi="宋体" w:cs="宋体"/>
                <w:color w:val="000000"/>
                <w:szCs w:val="24"/>
              </w:rPr>
              <w:t>6</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rPr>
                <w:color w:val="000000"/>
                <w:szCs w:val="24"/>
              </w:rPr>
            </w:pPr>
            <w:r>
              <w:rPr>
                <w:rFonts w:hint="eastAsia"/>
                <w:color w:val="000000"/>
                <w:szCs w:val="24"/>
              </w:rPr>
              <w:t>售后服务1</w:t>
            </w:r>
            <w:r>
              <w:rPr>
                <w:rFonts w:hint="eastAsia"/>
                <w:color w:val="000000"/>
                <w:szCs w:val="24"/>
                <w:lang w:val="en-US" w:eastAsia="zh-CN"/>
              </w:rPr>
              <w:t>0</w:t>
            </w:r>
            <w:r>
              <w:rPr>
                <w:color w:val="000000"/>
                <w:szCs w:val="24"/>
              </w:rPr>
              <w:t>%</w:t>
            </w:r>
          </w:p>
        </w:tc>
        <w:tc>
          <w:tcPr>
            <w:tcW w:w="846" w:type="dxa"/>
            <w:tcBorders>
              <w:top w:val="single" w:color="auto" w:sz="4" w:space="0"/>
              <w:left w:val="nil"/>
              <w:bottom w:val="single" w:color="auto" w:sz="4" w:space="0"/>
              <w:right w:val="single" w:color="auto" w:sz="4" w:space="0"/>
            </w:tcBorders>
            <w:vAlign w:val="center"/>
          </w:tcPr>
          <w:p>
            <w:pPr>
              <w:widowControl/>
              <w:ind w:firstLine="0" w:firstLineChars="0"/>
              <w:jc w:val="center"/>
              <w:rPr>
                <w:color w:val="000000"/>
                <w:szCs w:val="24"/>
              </w:rPr>
            </w:pPr>
            <w:r>
              <w:rPr>
                <w:rFonts w:hint="eastAsia"/>
                <w:color w:val="000000"/>
                <w:szCs w:val="24"/>
              </w:rPr>
              <w:t>10分</w:t>
            </w: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color w:val="000000"/>
                <w:szCs w:val="24"/>
              </w:rPr>
            </w:pPr>
            <w:r>
              <w:rPr>
                <w:rFonts w:hint="eastAsia"/>
                <w:color w:val="000000"/>
                <w:szCs w:val="24"/>
              </w:rPr>
              <w:t>1、</w:t>
            </w:r>
            <w:r>
              <w:rPr>
                <w:rFonts w:hint="eastAsia"/>
                <w:color w:val="000000"/>
                <w:szCs w:val="24"/>
              </w:rPr>
              <w:tab/>
            </w:r>
            <w:r>
              <w:rPr>
                <w:rFonts w:hint="eastAsia"/>
                <w:color w:val="000000"/>
                <w:szCs w:val="24"/>
              </w:rPr>
              <w:t>厂商在本地有服务机构与备件库或承诺中标后两个月内在本地建设备件库，提供证明文件，得1分。</w:t>
            </w:r>
          </w:p>
          <w:p>
            <w:pPr>
              <w:widowControl/>
              <w:ind w:firstLine="0" w:firstLineChars="0"/>
              <w:rPr>
                <w:color w:val="000000"/>
                <w:szCs w:val="24"/>
              </w:rPr>
            </w:pPr>
            <w:r>
              <w:rPr>
                <w:rFonts w:hint="eastAsia"/>
                <w:color w:val="000000"/>
                <w:szCs w:val="24"/>
              </w:rPr>
              <w:t>2、</w:t>
            </w:r>
            <w:r>
              <w:rPr>
                <w:rFonts w:hint="eastAsia"/>
                <w:color w:val="000000"/>
                <w:szCs w:val="24"/>
              </w:rPr>
              <w:tab/>
            </w:r>
            <w:r>
              <w:rPr>
                <w:rFonts w:hint="eastAsia"/>
                <w:color w:val="000000"/>
                <w:szCs w:val="24"/>
              </w:rPr>
              <w:t>完全满足招标文件售后服务要求的得2分，每额外多提供1年原厂免费质保加1分，最多加2分。不满足招标售后服务要求的得0分。</w:t>
            </w:r>
          </w:p>
          <w:p>
            <w:pPr>
              <w:widowControl/>
              <w:ind w:firstLine="0" w:firstLineChars="0"/>
              <w:rPr>
                <w:color w:val="000000"/>
                <w:szCs w:val="24"/>
              </w:rPr>
            </w:pPr>
            <w:r>
              <w:rPr>
                <w:rFonts w:hint="eastAsia"/>
                <w:color w:val="000000"/>
                <w:szCs w:val="24"/>
              </w:rPr>
              <w:t>3、</w:t>
            </w:r>
            <w:r>
              <w:rPr>
                <w:rFonts w:hint="eastAsia"/>
                <w:color w:val="000000"/>
                <w:szCs w:val="24"/>
              </w:rPr>
              <w:tab/>
            </w:r>
            <w:r>
              <w:rPr>
                <w:rFonts w:hint="eastAsia"/>
                <w:color w:val="000000"/>
                <w:szCs w:val="24"/>
              </w:rPr>
              <w:t>投标人提供完善售后服务机制承诺，提供售后服务保障措施以及服务承诺，提供完善售后服务支持方案，能充分保障项目需求、人员配置以及故障处理等的响应时间、解决故障承诺的时间，提供人员培训计划、培训内容、质量保证期限及质量保证的范围承诺得5分。缺少1项或者不能满足实际使用需求每有一项扣1分，扣完为止。</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r>
        <w:tblPrEx>
          <w:tblLayout w:type="fixed"/>
          <w:tblCellMar>
            <w:top w:w="0" w:type="dxa"/>
            <w:left w:w="108" w:type="dxa"/>
            <w:bottom w:w="0" w:type="dxa"/>
            <w:right w:w="108" w:type="dxa"/>
          </w:tblCellMar>
        </w:tblPrEx>
        <w:trPr>
          <w:trHeight w:val="246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cs="宋体"/>
                <w:color w:val="000000"/>
                <w:szCs w:val="24"/>
              </w:rPr>
            </w:pPr>
            <w:r>
              <w:rPr>
                <w:rFonts w:hAnsi="宋体" w:cs="宋体"/>
                <w:color w:val="000000"/>
                <w:szCs w:val="24"/>
              </w:rPr>
              <w:t>8</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rPr>
                <w:color w:val="000000"/>
                <w:szCs w:val="24"/>
              </w:rPr>
            </w:pPr>
            <w:r>
              <w:rPr>
                <w:rFonts w:hint="eastAsia"/>
                <w:color w:val="000000"/>
                <w:szCs w:val="24"/>
              </w:rPr>
              <w:t>投标文件的规范性</w:t>
            </w:r>
            <w:r>
              <w:rPr>
                <w:rFonts w:hint="eastAsia"/>
                <w:color w:val="000000"/>
                <w:szCs w:val="24"/>
                <w:lang w:val="en-US" w:eastAsia="zh-CN"/>
              </w:rPr>
              <w:t>5</w:t>
            </w:r>
            <w:r>
              <w:rPr>
                <w:color w:val="000000"/>
                <w:szCs w:val="24"/>
              </w:rPr>
              <w:t>%</w:t>
            </w:r>
          </w:p>
        </w:tc>
        <w:tc>
          <w:tcPr>
            <w:tcW w:w="846" w:type="dxa"/>
            <w:tcBorders>
              <w:top w:val="single" w:color="auto" w:sz="4" w:space="0"/>
              <w:left w:val="nil"/>
              <w:bottom w:val="single" w:color="auto" w:sz="4" w:space="0"/>
              <w:right w:val="single" w:color="auto" w:sz="4" w:space="0"/>
            </w:tcBorders>
            <w:vAlign w:val="center"/>
          </w:tcPr>
          <w:p>
            <w:pPr>
              <w:widowControl/>
              <w:ind w:firstLine="0" w:firstLineChars="0"/>
              <w:jc w:val="center"/>
              <w:rPr>
                <w:color w:val="000000"/>
                <w:szCs w:val="24"/>
              </w:rPr>
            </w:pPr>
            <w:r>
              <w:rPr>
                <w:rFonts w:hint="eastAsia"/>
                <w:color w:val="000000"/>
                <w:szCs w:val="24"/>
                <w:lang w:val="en-US" w:eastAsia="zh-CN"/>
              </w:rPr>
              <w:t>5</w:t>
            </w:r>
            <w:r>
              <w:rPr>
                <w:rFonts w:hint="eastAsia"/>
                <w:color w:val="000000"/>
                <w:szCs w:val="24"/>
              </w:rPr>
              <w:t>分</w:t>
            </w:r>
          </w:p>
        </w:tc>
        <w:tc>
          <w:tcPr>
            <w:tcW w:w="4820" w:type="dxa"/>
            <w:tcBorders>
              <w:top w:val="single" w:color="auto" w:sz="4" w:space="0"/>
              <w:left w:val="nil"/>
              <w:bottom w:val="single" w:color="auto" w:sz="4" w:space="0"/>
              <w:right w:val="single" w:color="auto" w:sz="4" w:space="0"/>
            </w:tcBorders>
            <w:vAlign w:val="center"/>
          </w:tcPr>
          <w:p>
            <w:pPr>
              <w:widowControl/>
              <w:ind w:firstLine="0" w:firstLineChars="0"/>
              <w:rPr>
                <w:color w:val="000000"/>
                <w:szCs w:val="24"/>
              </w:rPr>
            </w:pPr>
            <w:r>
              <w:rPr>
                <w:rFonts w:hint="eastAsia"/>
                <w:color w:val="000000"/>
                <w:szCs w:val="24"/>
              </w:rPr>
              <w:t>投标文件制作规范，有页码，完全响应招标文件的得</w:t>
            </w:r>
            <w:r>
              <w:rPr>
                <w:rFonts w:hint="eastAsia"/>
                <w:color w:val="000000"/>
                <w:szCs w:val="24"/>
                <w:lang w:val="en-US" w:eastAsia="zh-CN"/>
              </w:rPr>
              <w:t>5</w:t>
            </w:r>
            <w:r>
              <w:rPr>
                <w:rFonts w:hint="eastAsia"/>
                <w:color w:val="000000"/>
                <w:szCs w:val="24"/>
              </w:rPr>
              <w:t>分；有细微偏差每一小项扣</w:t>
            </w:r>
            <w:r>
              <w:rPr>
                <w:color w:val="000000"/>
                <w:szCs w:val="24"/>
              </w:rPr>
              <w:t>1</w:t>
            </w:r>
            <w:r>
              <w:rPr>
                <w:rFonts w:hint="eastAsia"/>
                <w:color w:val="000000"/>
                <w:szCs w:val="24"/>
              </w:rPr>
              <w:t>分，直至该项分值扣完为止。</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rPr>
                <w:rFonts w:hAnsi="宋体" w:cs="宋体"/>
                <w:color w:val="000000"/>
                <w:szCs w:val="24"/>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Futura Bk">
    <w:altName w:val="Segoe UI"/>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3E08"/>
    <w:multiLevelType w:val="singleLevel"/>
    <w:tmpl w:val="20BB3E08"/>
    <w:lvl w:ilvl="0" w:tentative="0">
      <w:start w:val="1"/>
      <w:numFmt w:val="decimal"/>
      <w:suff w:val="nothing"/>
      <w:lvlText w:val="%1、"/>
      <w:lvlJc w:val="left"/>
    </w:lvl>
  </w:abstractNum>
  <w:abstractNum w:abstractNumId="1">
    <w:nsid w:val="3A6E3BF8"/>
    <w:multiLevelType w:val="multilevel"/>
    <w:tmpl w:val="3A6E3BF8"/>
    <w:lvl w:ilvl="0" w:tentative="0">
      <w:start w:val="1"/>
      <w:numFmt w:val="bullet"/>
      <w:pStyle w:val="39"/>
      <w:lvlText w:val=""/>
      <w:lvlJc w:val="left"/>
      <w:pPr>
        <w:ind w:left="420" w:hanging="420"/>
      </w:pPr>
      <w:rPr>
        <w:rFonts w:hint="default" w:ascii="Wingdings" w:hAnsi="Wingdings"/>
        <w:color w:val="202A88"/>
        <w:position w:val="-2"/>
        <w:sz w:val="15"/>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B160288"/>
    <w:multiLevelType w:val="multilevel"/>
    <w:tmpl w:val="6B160288"/>
    <w:lvl w:ilvl="0" w:tentative="0">
      <w:start w:val="1"/>
      <w:numFmt w:val="decimal"/>
      <w:pStyle w:val="19"/>
      <w:suff w:val="space"/>
      <w:lvlText w:val="第%1章 "/>
      <w:lvlJc w:val="left"/>
      <w:pPr>
        <w:ind w:left="0" w:firstLine="0"/>
      </w:pPr>
      <w:rPr>
        <w:rFonts w:hint="eastAsia"/>
      </w:rPr>
    </w:lvl>
    <w:lvl w:ilvl="1" w:tentative="0">
      <w:start w:val="1"/>
      <w:numFmt w:val="decimal"/>
      <w:pStyle w:val="20"/>
      <w:suff w:val="space"/>
      <w:lvlText w:val="%1.%2"/>
      <w:lvlJc w:val="left"/>
      <w:pPr>
        <w:ind w:left="0" w:firstLine="0"/>
      </w:pPr>
      <w:rPr>
        <w:rFonts w:hint="eastAsia"/>
      </w:rPr>
    </w:lvl>
    <w:lvl w:ilvl="2" w:tentative="0">
      <w:start w:val="1"/>
      <w:numFmt w:val="decimal"/>
      <w:pStyle w:val="22"/>
      <w:lvlText w:val="%1.%2.%3"/>
      <w:lvlJc w:val="left"/>
      <w:pPr>
        <w:ind w:left="0" w:firstLine="0"/>
      </w:pPr>
      <w:rPr>
        <w:rFonts w:hint="eastAsia"/>
      </w:rPr>
    </w:lvl>
    <w:lvl w:ilvl="3" w:tentative="0">
      <w:start w:val="1"/>
      <w:numFmt w:val="decimal"/>
      <w:pStyle w:val="24"/>
      <w:lvlText w:val="%1.%2.%3.%4"/>
      <w:lvlJc w:val="left"/>
      <w:pPr>
        <w:ind w:left="0" w:firstLine="0"/>
      </w:pPr>
      <w:rPr>
        <w:rFonts w:hint="eastAsia"/>
      </w:rPr>
    </w:lvl>
    <w:lvl w:ilvl="4" w:tentative="0">
      <w:start w:val="1"/>
      <w:numFmt w:val="decimal"/>
      <w:pStyle w:val="26"/>
      <w:lvlText w:val="%1.%2.%3.%4.%5"/>
      <w:lvlJc w:val="left"/>
      <w:pPr>
        <w:ind w:left="0" w:firstLine="0"/>
      </w:pPr>
      <w:rPr>
        <w:rFonts w:hint="eastAsia"/>
      </w:rPr>
    </w:lvl>
    <w:lvl w:ilvl="5" w:tentative="0">
      <w:start w:val="1"/>
      <w:numFmt w:val="decimal"/>
      <w:pStyle w:val="31"/>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MDM0YTUyZmM1NjdkODVlMzA4MjRiYzQ3ZjkxYzQifQ=="/>
  </w:docVars>
  <w:rsids>
    <w:rsidRoot w:val="003503A8"/>
    <w:rsid w:val="000173E9"/>
    <w:rsid w:val="00026A2C"/>
    <w:rsid w:val="00027F5C"/>
    <w:rsid w:val="000303D0"/>
    <w:rsid w:val="000446A3"/>
    <w:rsid w:val="0005677E"/>
    <w:rsid w:val="00062AAB"/>
    <w:rsid w:val="00067CA6"/>
    <w:rsid w:val="0007566A"/>
    <w:rsid w:val="000853DE"/>
    <w:rsid w:val="00095D2E"/>
    <w:rsid w:val="000973CC"/>
    <w:rsid w:val="000A372E"/>
    <w:rsid w:val="000B5F00"/>
    <w:rsid w:val="000D2077"/>
    <w:rsid w:val="000D6F1B"/>
    <w:rsid w:val="00102AC0"/>
    <w:rsid w:val="00131F66"/>
    <w:rsid w:val="00132317"/>
    <w:rsid w:val="00142F21"/>
    <w:rsid w:val="00166A18"/>
    <w:rsid w:val="001A0A37"/>
    <w:rsid w:val="001A4E3F"/>
    <w:rsid w:val="001A68FB"/>
    <w:rsid w:val="001B7F7A"/>
    <w:rsid w:val="001C1079"/>
    <w:rsid w:val="001C4351"/>
    <w:rsid w:val="001E002D"/>
    <w:rsid w:val="001E6FF3"/>
    <w:rsid w:val="001F198D"/>
    <w:rsid w:val="001F29F8"/>
    <w:rsid w:val="002012AC"/>
    <w:rsid w:val="002036D0"/>
    <w:rsid w:val="00205E39"/>
    <w:rsid w:val="00226BA4"/>
    <w:rsid w:val="002307BD"/>
    <w:rsid w:val="0023192C"/>
    <w:rsid w:val="00232A9E"/>
    <w:rsid w:val="00233562"/>
    <w:rsid w:val="00234104"/>
    <w:rsid w:val="002475DF"/>
    <w:rsid w:val="00247974"/>
    <w:rsid w:val="00247E13"/>
    <w:rsid w:val="0025644F"/>
    <w:rsid w:val="00260210"/>
    <w:rsid w:val="002827C8"/>
    <w:rsid w:val="002916E0"/>
    <w:rsid w:val="002A35A5"/>
    <w:rsid w:val="002A364E"/>
    <w:rsid w:val="002A6AFD"/>
    <w:rsid w:val="002D4B50"/>
    <w:rsid w:val="00300A98"/>
    <w:rsid w:val="003276BD"/>
    <w:rsid w:val="003277E4"/>
    <w:rsid w:val="00335272"/>
    <w:rsid w:val="0033556E"/>
    <w:rsid w:val="003503A8"/>
    <w:rsid w:val="00352A37"/>
    <w:rsid w:val="00382EF3"/>
    <w:rsid w:val="003A430F"/>
    <w:rsid w:val="003C02CE"/>
    <w:rsid w:val="003D04E3"/>
    <w:rsid w:val="003F0544"/>
    <w:rsid w:val="0041166D"/>
    <w:rsid w:val="004157B1"/>
    <w:rsid w:val="00416056"/>
    <w:rsid w:val="00422362"/>
    <w:rsid w:val="004252A7"/>
    <w:rsid w:val="004256CB"/>
    <w:rsid w:val="0044030B"/>
    <w:rsid w:val="00443EEB"/>
    <w:rsid w:val="00450725"/>
    <w:rsid w:val="00455162"/>
    <w:rsid w:val="00467787"/>
    <w:rsid w:val="0049204C"/>
    <w:rsid w:val="004937E9"/>
    <w:rsid w:val="0049592B"/>
    <w:rsid w:val="004A06A2"/>
    <w:rsid w:val="004A31A0"/>
    <w:rsid w:val="004C3FBF"/>
    <w:rsid w:val="004D3E68"/>
    <w:rsid w:val="00516893"/>
    <w:rsid w:val="00520916"/>
    <w:rsid w:val="00526C92"/>
    <w:rsid w:val="00540902"/>
    <w:rsid w:val="00544C76"/>
    <w:rsid w:val="00545383"/>
    <w:rsid w:val="00550E18"/>
    <w:rsid w:val="00554ED6"/>
    <w:rsid w:val="005660A8"/>
    <w:rsid w:val="0057221D"/>
    <w:rsid w:val="005728FD"/>
    <w:rsid w:val="00572C79"/>
    <w:rsid w:val="0057562F"/>
    <w:rsid w:val="00584EAF"/>
    <w:rsid w:val="0059030A"/>
    <w:rsid w:val="00594118"/>
    <w:rsid w:val="005A4DD8"/>
    <w:rsid w:val="005B31EE"/>
    <w:rsid w:val="005C5F0F"/>
    <w:rsid w:val="005D7457"/>
    <w:rsid w:val="005E7737"/>
    <w:rsid w:val="005F10D6"/>
    <w:rsid w:val="005F5B61"/>
    <w:rsid w:val="006020A9"/>
    <w:rsid w:val="0060713A"/>
    <w:rsid w:val="006260C2"/>
    <w:rsid w:val="00634ADC"/>
    <w:rsid w:val="006531AD"/>
    <w:rsid w:val="00666A74"/>
    <w:rsid w:val="00667D22"/>
    <w:rsid w:val="006721A5"/>
    <w:rsid w:val="006746D7"/>
    <w:rsid w:val="00676BF8"/>
    <w:rsid w:val="00680C93"/>
    <w:rsid w:val="006972B8"/>
    <w:rsid w:val="006A4D3A"/>
    <w:rsid w:val="006B1FC2"/>
    <w:rsid w:val="006C50FE"/>
    <w:rsid w:val="006E7A76"/>
    <w:rsid w:val="00713701"/>
    <w:rsid w:val="00713832"/>
    <w:rsid w:val="00716672"/>
    <w:rsid w:val="007245AF"/>
    <w:rsid w:val="0073313F"/>
    <w:rsid w:val="007418DD"/>
    <w:rsid w:val="00745559"/>
    <w:rsid w:val="00754D99"/>
    <w:rsid w:val="00765A3A"/>
    <w:rsid w:val="00772582"/>
    <w:rsid w:val="00776CAA"/>
    <w:rsid w:val="00792045"/>
    <w:rsid w:val="00797CF2"/>
    <w:rsid w:val="007C5CB4"/>
    <w:rsid w:val="007C63FD"/>
    <w:rsid w:val="007D1008"/>
    <w:rsid w:val="007D483F"/>
    <w:rsid w:val="007E0F9B"/>
    <w:rsid w:val="007F1787"/>
    <w:rsid w:val="007F32E5"/>
    <w:rsid w:val="007F3AFE"/>
    <w:rsid w:val="00814770"/>
    <w:rsid w:val="008169A0"/>
    <w:rsid w:val="00826703"/>
    <w:rsid w:val="00836296"/>
    <w:rsid w:val="00836E00"/>
    <w:rsid w:val="00843071"/>
    <w:rsid w:val="00885B80"/>
    <w:rsid w:val="008C7F82"/>
    <w:rsid w:val="008E1F2B"/>
    <w:rsid w:val="008E4572"/>
    <w:rsid w:val="008F2C45"/>
    <w:rsid w:val="009146CF"/>
    <w:rsid w:val="0092711D"/>
    <w:rsid w:val="0093709C"/>
    <w:rsid w:val="009458FD"/>
    <w:rsid w:val="00950424"/>
    <w:rsid w:val="009715DC"/>
    <w:rsid w:val="00972724"/>
    <w:rsid w:val="009803BB"/>
    <w:rsid w:val="00987600"/>
    <w:rsid w:val="009B274B"/>
    <w:rsid w:val="009B3D81"/>
    <w:rsid w:val="009B4566"/>
    <w:rsid w:val="009B665A"/>
    <w:rsid w:val="009B6AF0"/>
    <w:rsid w:val="009E276E"/>
    <w:rsid w:val="00A013EC"/>
    <w:rsid w:val="00A43721"/>
    <w:rsid w:val="00A45081"/>
    <w:rsid w:val="00A45716"/>
    <w:rsid w:val="00A7159D"/>
    <w:rsid w:val="00A717D2"/>
    <w:rsid w:val="00A73022"/>
    <w:rsid w:val="00A75636"/>
    <w:rsid w:val="00A84C16"/>
    <w:rsid w:val="00A943DC"/>
    <w:rsid w:val="00AA20E6"/>
    <w:rsid w:val="00AA31A7"/>
    <w:rsid w:val="00AB3C51"/>
    <w:rsid w:val="00AC10E4"/>
    <w:rsid w:val="00AC2437"/>
    <w:rsid w:val="00AD7C79"/>
    <w:rsid w:val="00AE3FAB"/>
    <w:rsid w:val="00AE5F2C"/>
    <w:rsid w:val="00AF53BF"/>
    <w:rsid w:val="00AF76D2"/>
    <w:rsid w:val="00B02535"/>
    <w:rsid w:val="00B222B4"/>
    <w:rsid w:val="00B240DD"/>
    <w:rsid w:val="00B5287A"/>
    <w:rsid w:val="00B5506A"/>
    <w:rsid w:val="00B55180"/>
    <w:rsid w:val="00B56A68"/>
    <w:rsid w:val="00B62859"/>
    <w:rsid w:val="00B7147D"/>
    <w:rsid w:val="00B72BC8"/>
    <w:rsid w:val="00B771D2"/>
    <w:rsid w:val="00B82A24"/>
    <w:rsid w:val="00B85567"/>
    <w:rsid w:val="00B94993"/>
    <w:rsid w:val="00B97244"/>
    <w:rsid w:val="00BA280D"/>
    <w:rsid w:val="00BF2BE2"/>
    <w:rsid w:val="00BF6701"/>
    <w:rsid w:val="00C0498A"/>
    <w:rsid w:val="00C0677C"/>
    <w:rsid w:val="00C2740F"/>
    <w:rsid w:val="00C2759B"/>
    <w:rsid w:val="00C436AD"/>
    <w:rsid w:val="00C6087D"/>
    <w:rsid w:val="00C60BF9"/>
    <w:rsid w:val="00C62A05"/>
    <w:rsid w:val="00C824FD"/>
    <w:rsid w:val="00C879B2"/>
    <w:rsid w:val="00C9563E"/>
    <w:rsid w:val="00CA2E6E"/>
    <w:rsid w:val="00CB1075"/>
    <w:rsid w:val="00CB229F"/>
    <w:rsid w:val="00CB3C00"/>
    <w:rsid w:val="00CB7023"/>
    <w:rsid w:val="00CC68BF"/>
    <w:rsid w:val="00CC7E1C"/>
    <w:rsid w:val="00CD4A99"/>
    <w:rsid w:val="00CD77F6"/>
    <w:rsid w:val="00CE6AA6"/>
    <w:rsid w:val="00CF20E1"/>
    <w:rsid w:val="00CF22C9"/>
    <w:rsid w:val="00D226DE"/>
    <w:rsid w:val="00D30CA9"/>
    <w:rsid w:val="00D34D90"/>
    <w:rsid w:val="00D360FA"/>
    <w:rsid w:val="00D63B40"/>
    <w:rsid w:val="00D8648D"/>
    <w:rsid w:val="00D87402"/>
    <w:rsid w:val="00DA2E5E"/>
    <w:rsid w:val="00DA403A"/>
    <w:rsid w:val="00DC01E8"/>
    <w:rsid w:val="00DC1805"/>
    <w:rsid w:val="00DC3B62"/>
    <w:rsid w:val="00DC4FBF"/>
    <w:rsid w:val="00DC708F"/>
    <w:rsid w:val="00DD3613"/>
    <w:rsid w:val="00DE01E8"/>
    <w:rsid w:val="00DE2908"/>
    <w:rsid w:val="00DF0A63"/>
    <w:rsid w:val="00DF12EF"/>
    <w:rsid w:val="00DF455A"/>
    <w:rsid w:val="00DF71A1"/>
    <w:rsid w:val="00E038FA"/>
    <w:rsid w:val="00E12B18"/>
    <w:rsid w:val="00E20492"/>
    <w:rsid w:val="00E20BBE"/>
    <w:rsid w:val="00E2225A"/>
    <w:rsid w:val="00E245E1"/>
    <w:rsid w:val="00E304C4"/>
    <w:rsid w:val="00E329E0"/>
    <w:rsid w:val="00E550A2"/>
    <w:rsid w:val="00E57690"/>
    <w:rsid w:val="00E7146B"/>
    <w:rsid w:val="00E720C3"/>
    <w:rsid w:val="00E7680C"/>
    <w:rsid w:val="00E86A53"/>
    <w:rsid w:val="00E90D47"/>
    <w:rsid w:val="00EA3F41"/>
    <w:rsid w:val="00EA4AFA"/>
    <w:rsid w:val="00EA5C5B"/>
    <w:rsid w:val="00EC275D"/>
    <w:rsid w:val="00EE7EAE"/>
    <w:rsid w:val="00F007B7"/>
    <w:rsid w:val="00F03C94"/>
    <w:rsid w:val="00F174EE"/>
    <w:rsid w:val="00F21367"/>
    <w:rsid w:val="00F3387A"/>
    <w:rsid w:val="00F465AA"/>
    <w:rsid w:val="00F70E52"/>
    <w:rsid w:val="00F715A5"/>
    <w:rsid w:val="00F7230A"/>
    <w:rsid w:val="00F75FAD"/>
    <w:rsid w:val="00F7620A"/>
    <w:rsid w:val="00F83ABC"/>
    <w:rsid w:val="00F85428"/>
    <w:rsid w:val="00F939EC"/>
    <w:rsid w:val="00FB03FF"/>
    <w:rsid w:val="00FB3370"/>
    <w:rsid w:val="00FB6B2D"/>
    <w:rsid w:val="00FB6B6F"/>
    <w:rsid w:val="00FD43AB"/>
    <w:rsid w:val="00FF05EA"/>
    <w:rsid w:val="00FF6C46"/>
    <w:rsid w:val="032A61B6"/>
    <w:rsid w:val="05B24483"/>
    <w:rsid w:val="06113EC5"/>
    <w:rsid w:val="06F954D8"/>
    <w:rsid w:val="09E60110"/>
    <w:rsid w:val="0A8A06EA"/>
    <w:rsid w:val="0DB85821"/>
    <w:rsid w:val="0ECA7307"/>
    <w:rsid w:val="1CBA09BB"/>
    <w:rsid w:val="1F1C2EF0"/>
    <w:rsid w:val="21F66939"/>
    <w:rsid w:val="233108BF"/>
    <w:rsid w:val="233A4C8A"/>
    <w:rsid w:val="29DD1342"/>
    <w:rsid w:val="32CB3418"/>
    <w:rsid w:val="38206066"/>
    <w:rsid w:val="388760E5"/>
    <w:rsid w:val="3C917532"/>
    <w:rsid w:val="421D2FE8"/>
    <w:rsid w:val="45956407"/>
    <w:rsid w:val="47D20B9B"/>
    <w:rsid w:val="49B7746A"/>
    <w:rsid w:val="49FA6D70"/>
    <w:rsid w:val="4B2B6DA4"/>
    <w:rsid w:val="503B512F"/>
    <w:rsid w:val="51D42C95"/>
    <w:rsid w:val="530F48B5"/>
    <w:rsid w:val="5339135A"/>
    <w:rsid w:val="578A129D"/>
    <w:rsid w:val="588C1DD9"/>
    <w:rsid w:val="59345076"/>
    <w:rsid w:val="5D51332D"/>
    <w:rsid w:val="5EA31BDB"/>
    <w:rsid w:val="5F0C2943"/>
    <w:rsid w:val="5FF94923"/>
    <w:rsid w:val="66C8649E"/>
    <w:rsid w:val="677005D4"/>
    <w:rsid w:val="67D04C04"/>
    <w:rsid w:val="682B5A61"/>
    <w:rsid w:val="6BCA186A"/>
    <w:rsid w:val="73EB241B"/>
    <w:rsid w:val="744A1799"/>
    <w:rsid w:val="77DD3676"/>
    <w:rsid w:val="796412DC"/>
    <w:rsid w:val="7A79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Body Text"/>
    <w:basedOn w:val="1"/>
    <w:next w:val="1"/>
    <w:link w:val="40"/>
    <w:qFormat/>
    <w:uiPriority w:val="99"/>
    <w:pPr>
      <w:spacing w:after="120" w:line="240" w:lineRule="auto"/>
      <w:ind w:firstLine="0" w:firstLineChars="0"/>
    </w:pPr>
    <w:rPr>
      <w:rFonts w:ascii="Times New Roman" w:hAnsi="Times New Roman" w:cs="Times New Roman"/>
      <w:sz w:val="21"/>
      <w:szCs w:val="24"/>
    </w:rPr>
  </w:style>
  <w:style w:type="paragraph" w:styleId="6">
    <w:name w:val="toc 3"/>
    <w:basedOn w:val="1"/>
    <w:next w:val="1"/>
    <w:unhideWhenUsed/>
    <w:qFormat/>
    <w:uiPriority w:val="39"/>
    <w:pPr>
      <w:tabs>
        <w:tab w:val="left" w:pos="1701"/>
        <w:tab w:val="right" w:leader="dot" w:pos="8296"/>
      </w:tabs>
      <w:ind w:left="480" w:leftChars="200" w:firstLine="480"/>
    </w:pPr>
  </w:style>
  <w:style w:type="paragraph" w:styleId="7">
    <w:name w:val="Balloon Text"/>
    <w:basedOn w:val="1"/>
    <w:link w:val="41"/>
    <w:semiHidden/>
    <w:unhideWhenUsed/>
    <w:uiPriority w:val="99"/>
    <w:pPr>
      <w:spacing w:line="240" w:lineRule="auto"/>
    </w:pPr>
    <w:rPr>
      <w:sz w:val="18"/>
      <w:szCs w:val="18"/>
    </w:rPr>
  </w:style>
  <w:style w:type="paragraph" w:styleId="8">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3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uiPriority w:val="39"/>
    <w:pPr>
      <w:tabs>
        <w:tab w:val="right" w:leader="dot" w:pos="8296"/>
      </w:tabs>
      <w:ind w:firstLine="0" w:firstLineChars="0"/>
    </w:pPr>
  </w:style>
  <w:style w:type="paragraph" w:styleId="11">
    <w:name w:val="toc 2"/>
    <w:basedOn w:val="1"/>
    <w:next w:val="1"/>
    <w:unhideWhenUsed/>
    <w:qFormat/>
    <w:uiPriority w:val="39"/>
    <w:pPr>
      <w:tabs>
        <w:tab w:val="right" w:leader="dot" w:pos="8296"/>
      </w:tabs>
      <w:ind w:firstLine="480"/>
    </w:pPr>
  </w:style>
  <w:style w:type="paragraph" w:styleId="12">
    <w:name w:val="Normal (Web)"/>
    <w:basedOn w:val="1"/>
    <w:semiHidden/>
    <w:unhideWhenUsed/>
    <w:uiPriority w:val="99"/>
    <w:rPr>
      <w:sz w:val="24"/>
    </w:rPr>
  </w:style>
  <w:style w:type="paragraph" w:styleId="13">
    <w:name w:val="annotation subject"/>
    <w:basedOn w:val="4"/>
    <w:next w:val="4"/>
    <w:link w:val="30"/>
    <w:qFormat/>
    <w:uiPriority w:val="0"/>
    <w:pPr>
      <w:ind w:firstLine="480"/>
    </w:pPr>
    <w:rPr>
      <w:rFonts w:ascii="Calibri" w:hAnsi="Calibri" w:eastAsia="宋体" w:cs="Times New Roman"/>
      <w:b/>
      <w:bCs/>
      <w:szCs w:val="2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paragraph" w:customStyle="1" w:styleId="19">
    <w:name w:val="标题1--"/>
    <w:basedOn w:val="1"/>
    <w:next w:val="1"/>
    <w:link w:val="21"/>
    <w:qFormat/>
    <w:uiPriority w:val="0"/>
    <w:pPr>
      <w:pageBreakBefore/>
      <w:numPr>
        <w:ilvl w:val="0"/>
        <w:numId w:val="1"/>
      </w:numPr>
      <w:spacing w:before="50" w:beforeLines="50" w:after="50" w:afterLines="50"/>
      <w:ind w:firstLineChars="0"/>
      <w:jc w:val="center"/>
      <w:outlineLvl w:val="0"/>
    </w:pPr>
    <w:rPr>
      <w:rFonts w:eastAsia="黑体"/>
      <w:b/>
      <w:sz w:val="36"/>
    </w:rPr>
  </w:style>
  <w:style w:type="paragraph" w:customStyle="1" w:styleId="20">
    <w:name w:val="标题2--"/>
    <w:basedOn w:val="19"/>
    <w:next w:val="1"/>
    <w:link w:val="23"/>
    <w:qFormat/>
    <w:uiPriority w:val="0"/>
    <w:pPr>
      <w:pageBreakBefore w:val="0"/>
      <w:numPr>
        <w:ilvl w:val="1"/>
      </w:numPr>
      <w:jc w:val="left"/>
      <w:outlineLvl w:val="1"/>
    </w:pPr>
    <w:rPr>
      <w:sz w:val="32"/>
    </w:rPr>
  </w:style>
  <w:style w:type="character" w:customStyle="1" w:styleId="21">
    <w:name w:val="标题1-- Char"/>
    <w:basedOn w:val="16"/>
    <w:link w:val="19"/>
    <w:qFormat/>
    <w:uiPriority w:val="0"/>
    <w:rPr>
      <w:rFonts w:eastAsia="黑体"/>
      <w:b/>
      <w:sz w:val="36"/>
    </w:rPr>
  </w:style>
  <w:style w:type="paragraph" w:customStyle="1" w:styleId="22">
    <w:name w:val="标题3--"/>
    <w:basedOn w:val="20"/>
    <w:next w:val="1"/>
    <w:link w:val="25"/>
    <w:qFormat/>
    <w:uiPriority w:val="0"/>
    <w:pPr>
      <w:numPr>
        <w:ilvl w:val="2"/>
      </w:numPr>
      <w:outlineLvl w:val="2"/>
    </w:pPr>
    <w:rPr>
      <w:sz w:val="30"/>
    </w:rPr>
  </w:style>
  <w:style w:type="character" w:customStyle="1" w:styleId="23">
    <w:name w:val="标题2-- Char"/>
    <w:basedOn w:val="21"/>
    <w:link w:val="20"/>
    <w:qFormat/>
    <w:uiPriority w:val="0"/>
    <w:rPr>
      <w:rFonts w:eastAsia="黑体"/>
      <w:sz w:val="32"/>
    </w:rPr>
  </w:style>
  <w:style w:type="paragraph" w:customStyle="1" w:styleId="24">
    <w:name w:val="标题4--"/>
    <w:basedOn w:val="22"/>
    <w:next w:val="1"/>
    <w:link w:val="27"/>
    <w:qFormat/>
    <w:uiPriority w:val="0"/>
    <w:pPr>
      <w:numPr>
        <w:ilvl w:val="3"/>
      </w:numPr>
      <w:outlineLvl w:val="3"/>
    </w:pPr>
    <w:rPr>
      <w:sz w:val="28"/>
    </w:rPr>
  </w:style>
  <w:style w:type="character" w:customStyle="1" w:styleId="25">
    <w:name w:val="标题3-- Char"/>
    <w:basedOn w:val="23"/>
    <w:link w:val="22"/>
    <w:uiPriority w:val="0"/>
    <w:rPr>
      <w:rFonts w:eastAsia="黑体"/>
      <w:sz w:val="30"/>
    </w:rPr>
  </w:style>
  <w:style w:type="paragraph" w:customStyle="1" w:styleId="26">
    <w:name w:val="标题5--"/>
    <w:basedOn w:val="24"/>
    <w:next w:val="1"/>
    <w:link w:val="28"/>
    <w:qFormat/>
    <w:uiPriority w:val="0"/>
    <w:pPr>
      <w:numPr>
        <w:ilvl w:val="4"/>
      </w:numPr>
      <w:outlineLvl w:val="4"/>
    </w:pPr>
    <w:rPr>
      <w:sz w:val="24"/>
    </w:rPr>
  </w:style>
  <w:style w:type="character" w:customStyle="1" w:styleId="27">
    <w:name w:val="标题4-- Char"/>
    <w:basedOn w:val="25"/>
    <w:link w:val="24"/>
    <w:qFormat/>
    <w:uiPriority w:val="0"/>
    <w:rPr>
      <w:rFonts w:eastAsia="黑体"/>
      <w:sz w:val="28"/>
    </w:rPr>
  </w:style>
  <w:style w:type="character" w:customStyle="1" w:styleId="28">
    <w:name w:val="标题5-- Char"/>
    <w:basedOn w:val="27"/>
    <w:link w:val="26"/>
    <w:qFormat/>
    <w:uiPriority w:val="0"/>
    <w:rPr>
      <w:rFonts w:eastAsia="黑体"/>
      <w:sz w:val="24"/>
    </w:rPr>
  </w:style>
  <w:style w:type="character" w:customStyle="1" w:styleId="29">
    <w:name w:val="批注文字 Char"/>
    <w:basedOn w:val="16"/>
    <w:link w:val="4"/>
    <w:semiHidden/>
    <w:qFormat/>
    <w:uiPriority w:val="99"/>
  </w:style>
  <w:style w:type="character" w:customStyle="1" w:styleId="30">
    <w:name w:val="批注主题 Char"/>
    <w:basedOn w:val="29"/>
    <w:link w:val="13"/>
    <w:qFormat/>
    <w:uiPriority w:val="0"/>
    <w:rPr>
      <w:rFonts w:ascii="Calibri" w:hAnsi="Calibri" w:eastAsia="宋体" w:cs="Times New Roman"/>
      <w:b/>
      <w:bCs/>
      <w:sz w:val="24"/>
      <w:szCs w:val="22"/>
    </w:rPr>
  </w:style>
  <w:style w:type="paragraph" w:customStyle="1" w:styleId="31">
    <w:name w:val="标题6--"/>
    <w:basedOn w:val="26"/>
    <w:next w:val="1"/>
    <w:link w:val="32"/>
    <w:qFormat/>
    <w:uiPriority w:val="0"/>
    <w:pPr>
      <w:numPr>
        <w:ilvl w:val="5"/>
      </w:numPr>
      <w:outlineLvl w:val="5"/>
    </w:pPr>
    <w:rPr>
      <w:sz w:val="21"/>
    </w:rPr>
  </w:style>
  <w:style w:type="character" w:customStyle="1" w:styleId="32">
    <w:name w:val="标题6-- Char"/>
    <w:basedOn w:val="28"/>
    <w:link w:val="31"/>
    <w:qFormat/>
    <w:uiPriority w:val="0"/>
    <w:rPr>
      <w:rFonts w:eastAsia="黑体"/>
      <w:sz w:val="24"/>
    </w:rPr>
  </w:style>
  <w:style w:type="paragraph" w:styleId="33">
    <w:name w:val="List Paragraph"/>
    <w:basedOn w:val="1"/>
    <w:link w:val="42"/>
    <w:qFormat/>
    <w:uiPriority w:val="34"/>
    <w:pPr>
      <w:ind w:firstLine="420"/>
    </w:pPr>
  </w:style>
  <w:style w:type="character" w:customStyle="1" w:styleId="34">
    <w:name w:val="标题 1 Char"/>
    <w:basedOn w:val="16"/>
    <w:link w:val="2"/>
    <w:qFormat/>
    <w:uiPriority w:val="9"/>
    <w:rPr>
      <w:b/>
      <w:bCs/>
      <w:kern w:val="44"/>
      <w:sz w:val="44"/>
      <w:szCs w:val="44"/>
    </w:rPr>
  </w:style>
  <w:style w:type="paragraph" w:customStyle="1" w:styleId="35">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页眉 Char"/>
    <w:basedOn w:val="16"/>
    <w:link w:val="9"/>
    <w:qFormat/>
    <w:uiPriority w:val="99"/>
    <w:rPr>
      <w:sz w:val="18"/>
      <w:szCs w:val="18"/>
    </w:rPr>
  </w:style>
  <w:style w:type="character" w:customStyle="1" w:styleId="37">
    <w:name w:val="页脚 Char"/>
    <w:basedOn w:val="16"/>
    <w:link w:val="8"/>
    <w:qFormat/>
    <w:uiPriority w:val="99"/>
    <w:rPr>
      <w:sz w:val="18"/>
      <w:szCs w:val="18"/>
    </w:rPr>
  </w:style>
  <w:style w:type="character" w:customStyle="1" w:styleId="38">
    <w:name w:val="标题 3 Char"/>
    <w:basedOn w:val="16"/>
    <w:link w:val="3"/>
    <w:qFormat/>
    <w:uiPriority w:val="9"/>
    <w:rPr>
      <w:b/>
      <w:bCs/>
      <w:sz w:val="32"/>
      <w:szCs w:val="32"/>
    </w:rPr>
  </w:style>
  <w:style w:type="paragraph" w:customStyle="1" w:styleId="39">
    <w:name w:val="Item List"/>
    <w:basedOn w:val="1"/>
    <w:qFormat/>
    <w:uiPriority w:val="0"/>
    <w:pPr>
      <w:numPr>
        <w:ilvl w:val="0"/>
        <w:numId w:val="2"/>
      </w:numPr>
      <w:spacing w:before="120" w:after="40" w:line="240" w:lineRule="auto"/>
      <w:ind w:firstLine="0" w:firstLineChars="0"/>
      <w:jc w:val="left"/>
    </w:pPr>
    <w:rPr>
      <w:rFonts w:ascii="Futura Bk" w:hAnsi="Futura Bk" w:eastAsia="宋体" w:cs="Times New Roman"/>
      <w:kern w:val="0"/>
      <w:sz w:val="18"/>
      <w:szCs w:val="13"/>
    </w:rPr>
  </w:style>
  <w:style w:type="character" w:customStyle="1" w:styleId="40">
    <w:name w:val="正文文本 Char"/>
    <w:basedOn w:val="16"/>
    <w:link w:val="5"/>
    <w:qFormat/>
    <w:uiPriority w:val="99"/>
    <w:rPr>
      <w:rFonts w:ascii="Times New Roman" w:hAnsi="Times New Roman" w:cs="Times New Roman"/>
      <w:szCs w:val="24"/>
    </w:rPr>
  </w:style>
  <w:style w:type="character" w:customStyle="1" w:styleId="41">
    <w:name w:val="批注框文本 Char"/>
    <w:basedOn w:val="16"/>
    <w:link w:val="7"/>
    <w:semiHidden/>
    <w:qFormat/>
    <w:uiPriority w:val="99"/>
    <w:rPr>
      <w:sz w:val="18"/>
      <w:szCs w:val="18"/>
    </w:rPr>
  </w:style>
  <w:style w:type="character" w:customStyle="1" w:styleId="42">
    <w:name w:val="列出段落 Char"/>
    <w:link w:val="33"/>
    <w:qFormat/>
    <w:uiPriority w:val="34"/>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5B923-C3C4-4568-8A0F-9570D40D09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1204</Words>
  <Characters>1336</Characters>
  <Lines>9</Lines>
  <Paragraphs>2</Paragraphs>
  <TotalTime>2</TotalTime>
  <ScaleCrop>false</ScaleCrop>
  <LinksUpToDate>false</LinksUpToDate>
  <CharactersWithSpaces>1342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2022-04-24T11:28:00Z</dcterms:created>
  <dc:creator>赵超林</dc:creator>
  <cp:lastModifiedBy>cgzx</cp:lastModifiedBy>
  <dcterms:modified xsi:type="dcterms:W3CDTF">2023-05-11T06:39:45Z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8CD4DB38022F4674A6D08328B501CD4C</vt:lpwstr>
  </property>
</Properties>
</file>