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12" w:lineRule="auto"/>
        <w:jc w:val="center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大邑县人民医院选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聘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社会代理机构</w:t>
      </w:r>
    </w:p>
    <w:p>
      <w:pPr>
        <w:keepNext/>
        <w:keepLines/>
        <w:spacing w:line="412" w:lineRule="auto"/>
        <w:jc w:val="center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项目服务内容、服务要求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商务要求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及评分标准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项目概况：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为规范大邑县人民医院货物、服务、工程等采购招标工作，现公开选聘三家社会招标代理机构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提供相关服务。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服务内容及服务要求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（一）服务内容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★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、拟订招标方案，并提供招标前期咨询；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协助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医院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完成政府采购需求管理相关事项。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、在国家规定媒体</w:t>
      </w:r>
      <w:r>
        <w:rPr>
          <w:rFonts w:hint="eastAsia" w:ascii="仿宋_GB2312" w:hAnsi="仿宋_GB2312" w:eastAsia="仿宋_GB2312" w:cs="仿宋_GB2312"/>
          <w:sz w:val="28"/>
          <w:szCs w:val="28"/>
        </w:rPr>
        <w:t>发布有关采购信息公告；</w:t>
      </w:r>
    </w:p>
    <w:p>
      <w:pPr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4、涉及进口产品采购需负责相关论证工作；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编制招标采购文件，并负责对招标采购文件进行解释；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、组织开标评标活动，并做好后勤服务和协调工作；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按要求抽取专家组建评审委员会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、按规定向中标人（成交人）发出中标通知书（成交通知书）；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、协助处理投标人和其他利害关系人提出的询问或质疑；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整理汇编招标采购全过程资料并存档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、安排有足够经验的专职人员担任项目负责人从事招标代理工作。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（二）服务要求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1、代理服务收费标准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要按照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有关规定标准收费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代理机构工作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应具备采购相关职称并外聘有法律顾问。同时</w:t>
      </w:r>
      <w:r>
        <w:rPr>
          <w:rFonts w:hint="eastAsia" w:ascii="仿宋_GB2312" w:hAnsi="仿宋_GB2312" w:eastAsia="仿宋_GB2312" w:cs="仿宋_GB2312"/>
          <w:sz w:val="28"/>
          <w:szCs w:val="28"/>
        </w:rPr>
        <w:t>配备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具有采购从业经验人员做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项目负责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，跟进项目情况，与采购人及时交流沟通。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3、代理机构具</w:t>
      </w:r>
      <w:r>
        <w:rPr>
          <w:rFonts w:hint="eastAsia" w:ascii="仿宋_GB2312" w:hAnsi="仿宋_GB2312" w:eastAsia="仿宋_GB2312" w:cs="仿宋_GB2312"/>
          <w:sz w:val="28"/>
          <w:szCs w:val="28"/>
        </w:rPr>
        <w:t>有企事业机关政府采购年度代理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医疗设备类政府采购代理经验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国际招标代理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建设工程或政府采购工程代理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信息化建设或服务类采购代理业绩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4、能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提供成都本地开评标等办公场地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开评标分区合理，有单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独</w:t>
      </w:r>
      <w:r>
        <w:rPr>
          <w:rFonts w:hint="eastAsia" w:ascii="仿宋_GB2312" w:hAnsi="仿宋_GB2312" w:eastAsia="仿宋_GB2312" w:cs="仿宋_GB2312"/>
          <w:sz w:val="28"/>
          <w:szCs w:val="28"/>
        </w:rPr>
        <w:t>的监督室、休息室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开标厅、评标室等必要功能用房，并有门禁系统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具有电子评标室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固定的采购档案存放场所，能满足采购档案保管要求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根据医院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</w:t>
      </w:r>
      <w:r>
        <w:rPr>
          <w:rFonts w:hint="eastAsia" w:ascii="仿宋_GB2312" w:hAnsi="仿宋_GB2312" w:eastAsia="仿宋_GB2312" w:cs="仿宋_GB2312"/>
          <w:sz w:val="28"/>
          <w:szCs w:val="28"/>
        </w:rPr>
        <w:t>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</w:rPr>
        <w:t>目特征制定服务方案，包含但不限于:①服务保障(公司组织架构、部门规范、岗位配置:实效管理、质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量</w:t>
      </w:r>
      <w:r>
        <w:rPr>
          <w:rFonts w:hint="eastAsia" w:ascii="仿宋_GB2312" w:hAnsi="仿宋_GB2312" w:eastAsia="仿宋_GB2312" w:cs="仿宋_GB2312"/>
          <w:sz w:val="28"/>
          <w:szCs w:val="28"/>
        </w:rPr>
        <w:t>控制)；②项目实施(需求管理、文件编制、系统推送、信息发布、开评标组织、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</w:rPr>
        <w:t>目复核、资料移交、质疑投诉处理、备案资料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制</w:t>
      </w:r>
      <w:r>
        <w:rPr>
          <w:rFonts w:hint="eastAsia" w:ascii="仿宋_GB2312" w:hAnsi="仿宋_GB2312" w:eastAsia="仿宋_GB2312" w:cs="仿宋_GB2312"/>
          <w:sz w:val="28"/>
          <w:szCs w:val="28"/>
        </w:rPr>
        <w:t>作及移交)；③档案管理(档案运输、管理制度、调档流程)；④其他服务(政策解读、业务指导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日常咨询)；⑤内控管理(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</w:rPr>
        <w:t>目流程、内控机制、风险点管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28"/>
          <w:szCs w:val="28"/>
        </w:rPr>
        <w:t>、廉洁纪律)。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三、商务要求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★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1、服务期限：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一年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2、服务地点：成都市内，开展活动的场地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由代理公司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负责提供。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3、付款方式：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招标代理服务费支付方式为：按照2002年10月15日国家计委印发的《招标代理服务收费暂行办法》（计价格【2002】1980号）文件规定的收费标准收取，招标代理服务费由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u w:val="none"/>
        </w:rPr>
        <w:t>中标（成交）供应商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支付。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本章中，“★”号项为实质性要求，属必须满足项，不满足按照无效响应处理。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评比方法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本项目评比方法为：综合评分法。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审小组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成员对每个有效的比选申请文件进行评分，汇总每项评分因素的得分，得出每个有效比选申请人的总分。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综合评分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明细表</w:t>
      </w:r>
    </w:p>
    <w:tbl>
      <w:tblPr>
        <w:tblStyle w:val="4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57"/>
        <w:gridCol w:w="797"/>
        <w:gridCol w:w="538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</w:t>
            </w:r>
          </w:p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因素及权重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代理服务报价15% 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after="120" w:line="27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按比例收费标准(10分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</w:t>
            </w:r>
          </w:p>
          <w:p>
            <w:pPr>
              <w:numPr>
                <w:ilvl w:val="0"/>
                <w:numId w:val="0"/>
              </w:numPr>
              <w:spacing w:after="120" w:line="273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参照《招标代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行办法》(计价格[2002]1980号)附件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标代理服务收费标准》有关规定标准收费，每下浮1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0.5分，最多得10分。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2.单项目最低收费标准(5分)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000元为基准价每下浮1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得0.5分，最多得5分。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3.上浮报价的其比选申请无效。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中选人不得以后期提高采购文件售价等方式作为补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公司人员素质及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队16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1.拟投入本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目的服务人员中具有与采购相关的中级职称的，每有1人得1分，最高得3分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其中具有与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购相关的高级职称的，每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1人加1分，最多加1分。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2.拟投入本项目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队含有法律相关专业或有外聘法律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的，有1人得2分，最多得2分。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3.拟投入本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目的项目负责人从事政府采购工作10年以上的，得5分:6-10年的，得3分:3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5年的:得1分；3年以下不得分。(年限统计截至202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年12月31日)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4、拟投入本项目的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人具有1年采购代理项目负责人从业经验的.得1分，每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加1年得1分，满分得5分，无不得分。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附人员相应证书复印件及社保证明材料或劳动合同协议。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代理经验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年以来，从事政府采购招标代理情况业绩: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1.有企事业机关政府采购年度代理业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，每有1个年度代理合同得0.5分，最多得10分(提供年度代理协议)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2.有医疗设备类政府采购代理经验，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计代理金额每有1亿，加0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5分，最多加4分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3.有国际招标代理经验，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计代理金额每有0.5亿，加0.5分，最多加2分。</w:t>
            </w:r>
          </w:p>
          <w:p>
            <w:pPr>
              <w:numPr>
                <w:ilvl w:val="0"/>
                <w:numId w:val="4"/>
              </w:num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有建设工程或政府采购工程代理业绩，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计代理金额每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0.1亿，加0.5分，最多加2分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5.有信息化建设或服务类采购代理业绩，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计代理金额每有0.2亿，加0.5分，最多加2分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该评审因素2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5点可重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计分，提供中标通知书或中标公告公示网页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服务场所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件12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1提供成都本地开评标等办公场地面积在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 以上得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㎡的得2分；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00㎡以下得1分，未提供证明不得分。(提供现场照片、房产证或租赁协议复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件，租赁协议有效期应超过医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委托协议截止时间202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7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月)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2.开评标分区合理，有单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的监督室、休息室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开标厅、评标室等必要功能用房，并有门禁系统的得2分，未满足或未提供证明不得分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提供办公场地现场照片，能反映现场设施、布局等条件)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3.具有电子评标室，每有1间得2分，最多得4分。(提供办公场地现场照片，能反映现场设施、布局等条件)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4.具有固定的采购档案存放场所，能满足采购档案保管要求的得2分，不具有或未提供证明不得分。(提供现场照片，房产证或租凭协议复印件，租凭协议有效期应超过医院委托协议时间20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月) 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案30%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根据医院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目特征制定服务方案，包含但不限于:①服务保障(公司组织架构、部门规范、岗位配置:实效管理、质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控制)；②项目实施(需求管理、文件编制、系统推送、信息发布、开评标组织、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目复核、资料移交、质疑投诉处理、备案资料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作及移交)；③档案管理(档案运输、管理制度、调档流程)；④其他服务(政策解读、业务指导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日常咨询)；⑤内控管理(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目流程、内控机制、风险点管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、廉洁纪律)。方案完整、清晰合理、可行性强，完全满足医院实际需求，得3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分:每有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项缺失或不完整扣6分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扣完为止；每有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不完善扣3分(不完善是指:内容不合理、可行性不足、无法实现预期或不符合现行法律法规要求等)。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根据提供的资料进行评审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荣誉认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证7% 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年至今，比选申请人获得招标采购行业主管部门或其指定公告媒体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发的荣誉证书，每提供一个得1分，最多得5分。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2.具有质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管理体系认证的得2分。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3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157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BA70"/>
    <w:multiLevelType w:val="singleLevel"/>
    <w:tmpl w:val="15CBBA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B05A8F"/>
    <w:multiLevelType w:val="multilevel"/>
    <w:tmpl w:val="48B05A8F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0642F7A"/>
    <w:multiLevelType w:val="multilevel"/>
    <w:tmpl w:val="60642F7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DD2F751"/>
    <w:multiLevelType w:val="singleLevel"/>
    <w:tmpl w:val="6DD2F75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YzY5MTNiOGZkNWU2NTBkYWY0MjNhMjJjMWUzYjgifQ=="/>
  </w:docVars>
  <w:rsids>
    <w:rsidRoot w:val="0039550D"/>
    <w:rsid w:val="00260268"/>
    <w:rsid w:val="0039550D"/>
    <w:rsid w:val="00A61C89"/>
    <w:rsid w:val="010B4E07"/>
    <w:rsid w:val="052713DC"/>
    <w:rsid w:val="08EF55AF"/>
    <w:rsid w:val="09507A2C"/>
    <w:rsid w:val="0A625AB1"/>
    <w:rsid w:val="0AE710F1"/>
    <w:rsid w:val="0C6C779B"/>
    <w:rsid w:val="0DAE74D7"/>
    <w:rsid w:val="0DB44864"/>
    <w:rsid w:val="0E526B69"/>
    <w:rsid w:val="0F3E4D87"/>
    <w:rsid w:val="0FBD4321"/>
    <w:rsid w:val="10A673BE"/>
    <w:rsid w:val="114E7B84"/>
    <w:rsid w:val="119952AB"/>
    <w:rsid w:val="12115CF1"/>
    <w:rsid w:val="143C5EAA"/>
    <w:rsid w:val="14DF1F1B"/>
    <w:rsid w:val="179948B1"/>
    <w:rsid w:val="181E1989"/>
    <w:rsid w:val="1B1B59A1"/>
    <w:rsid w:val="1C6A01F7"/>
    <w:rsid w:val="1CD82948"/>
    <w:rsid w:val="1E314839"/>
    <w:rsid w:val="1F593E76"/>
    <w:rsid w:val="2145316C"/>
    <w:rsid w:val="244C6177"/>
    <w:rsid w:val="244D3801"/>
    <w:rsid w:val="24FD5F47"/>
    <w:rsid w:val="258508DA"/>
    <w:rsid w:val="29365E90"/>
    <w:rsid w:val="29AD1A6A"/>
    <w:rsid w:val="2B200BB3"/>
    <w:rsid w:val="2DF34102"/>
    <w:rsid w:val="2E1131CD"/>
    <w:rsid w:val="2E1408D0"/>
    <w:rsid w:val="306A14A2"/>
    <w:rsid w:val="30F10731"/>
    <w:rsid w:val="31821B13"/>
    <w:rsid w:val="32C64BEA"/>
    <w:rsid w:val="33580982"/>
    <w:rsid w:val="3A9C365A"/>
    <w:rsid w:val="3BF64C31"/>
    <w:rsid w:val="3FC239E3"/>
    <w:rsid w:val="4039431D"/>
    <w:rsid w:val="42A92B04"/>
    <w:rsid w:val="437E0921"/>
    <w:rsid w:val="47685051"/>
    <w:rsid w:val="4B196E58"/>
    <w:rsid w:val="4E137FE2"/>
    <w:rsid w:val="4E436B1C"/>
    <w:rsid w:val="4F780760"/>
    <w:rsid w:val="52C35876"/>
    <w:rsid w:val="55E9189F"/>
    <w:rsid w:val="57F856E3"/>
    <w:rsid w:val="584B6EE6"/>
    <w:rsid w:val="5B661AC1"/>
    <w:rsid w:val="5D711AF6"/>
    <w:rsid w:val="5EE87B20"/>
    <w:rsid w:val="5F7A0C77"/>
    <w:rsid w:val="610B365A"/>
    <w:rsid w:val="65212FBA"/>
    <w:rsid w:val="67A073C6"/>
    <w:rsid w:val="67C721FF"/>
    <w:rsid w:val="6B2F621A"/>
    <w:rsid w:val="6BA0035F"/>
    <w:rsid w:val="6C0362AD"/>
    <w:rsid w:val="6C82596E"/>
    <w:rsid w:val="6FDF1E7C"/>
    <w:rsid w:val="71056248"/>
    <w:rsid w:val="727357ED"/>
    <w:rsid w:val="72EB3D23"/>
    <w:rsid w:val="73FB04D7"/>
    <w:rsid w:val="76A3742D"/>
    <w:rsid w:val="76B246B8"/>
    <w:rsid w:val="77253A36"/>
    <w:rsid w:val="78404E5F"/>
    <w:rsid w:val="78665B83"/>
    <w:rsid w:val="78872830"/>
    <w:rsid w:val="78DD0002"/>
    <w:rsid w:val="7973311C"/>
    <w:rsid w:val="79A4498E"/>
    <w:rsid w:val="7F7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2461</Words>
  <Characters>2585</Characters>
  <Lines>12</Lines>
  <Paragraphs>3</Paragraphs>
  <TotalTime>93</TotalTime>
  <ScaleCrop>false</ScaleCrop>
  <LinksUpToDate>false</LinksUpToDate>
  <CharactersWithSpaces>2618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2023-04-23T02:45:00Z</dcterms:created>
  <dc:creator>cgzx</dc:creator>
  <cp:lastModifiedBy>cgzx</cp:lastModifiedBy>
  <cp:lastPrinted>2023-05-19T09:07:00Z</cp:lastPrinted>
  <dcterms:modified xsi:type="dcterms:W3CDTF">2023-06-13T01:33:56Z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2821D1232B814BB1A03ED8808A8377B0</vt:lpwstr>
  </property>
</Properties>
</file>