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szCs w:val="28"/>
        </w:rPr>
      </w:pPr>
      <w:r>
        <w:rPr>
          <w:rFonts w:hint="eastAsia"/>
          <w:b/>
          <w:sz w:val="24"/>
          <w:szCs w:val="28"/>
        </w:rPr>
        <w:t>空调、消毒</w:t>
      </w:r>
      <w:r>
        <w:rPr>
          <w:rFonts w:hint="eastAsia"/>
          <w:b/>
          <w:sz w:val="24"/>
          <w:szCs w:val="28"/>
          <w:lang w:eastAsia="zh-CN"/>
        </w:rPr>
        <w:t>机</w:t>
      </w:r>
      <w:r>
        <w:rPr>
          <w:rFonts w:hint="eastAsia"/>
          <w:b/>
          <w:sz w:val="24"/>
          <w:szCs w:val="28"/>
        </w:rPr>
        <w:t>、窗帘、隔离帘清洗服务要求</w:t>
      </w:r>
    </w:p>
    <w:p>
      <w:pPr>
        <w:jc w:val="left"/>
        <w:rPr>
          <w:rFonts w:hint="eastAsia"/>
          <w:sz w:val="22"/>
          <w:szCs w:val="28"/>
        </w:rPr>
      </w:pPr>
    </w:p>
    <w:p>
      <w:pPr>
        <w:numPr>
          <w:ilvl w:val="0"/>
          <w:numId w:val="1"/>
        </w:numPr>
        <w:jc w:val="left"/>
        <w:rPr>
          <w:rFonts w:hint="eastAsia"/>
          <w:sz w:val="22"/>
          <w:szCs w:val="28"/>
          <w:lang w:eastAsia="zh-CN"/>
        </w:rPr>
      </w:pPr>
      <w:r>
        <w:rPr>
          <w:rFonts w:hint="eastAsia"/>
          <w:sz w:val="22"/>
          <w:szCs w:val="28"/>
          <w:lang w:eastAsia="zh-CN"/>
        </w:rPr>
        <w:t>采购清单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74"/>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2"/>
              <w:numPr>
                <w:ilvl w:val="0"/>
                <w:numId w:val="0"/>
              </w:numPr>
              <w:jc w:val="center"/>
              <w:rPr>
                <w:rFonts w:hint="eastAsia"/>
                <w:vertAlign w:val="baseline"/>
                <w:lang w:eastAsia="zh-CN"/>
              </w:rPr>
            </w:pPr>
            <w:r>
              <w:rPr>
                <w:rFonts w:hint="eastAsia"/>
                <w:vertAlign w:val="baseline"/>
                <w:lang w:eastAsia="zh-CN"/>
              </w:rPr>
              <w:t>采购标的</w:t>
            </w:r>
          </w:p>
        </w:tc>
        <w:tc>
          <w:tcPr>
            <w:tcW w:w="2130" w:type="dxa"/>
          </w:tcPr>
          <w:p>
            <w:pPr>
              <w:pStyle w:val="2"/>
              <w:numPr>
                <w:ilvl w:val="0"/>
                <w:numId w:val="0"/>
              </w:numPr>
              <w:jc w:val="center"/>
              <w:rPr>
                <w:rFonts w:hint="eastAsia"/>
                <w:vertAlign w:val="baseline"/>
                <w:lang w:eastAsia="zh-CN"/>
              </w:rPr>
            </w:pPr>
            <w:r>
              <w:rPr>
                <w:rFonts w:hint="eastAsia"/>
                <w:vertAlign w:val="baseline"/>
                <w:lang w:eastAsia="zh-CN"/>
              </w:rPr>
              <w:t>采购预算</w:t>
            </w:r>
          </w:p>
        </w:tc>
        <w:tc>
          <w:tcPr>
            <w:tcW w:w="1674" w:type="dxa"/>
          </w:tcPr>
          <w:p>
            <w:pPr>
              <w:pStyle w:val="2"/>
              <w:numPr>
                <w:ilvl w:val="0"/>
                <w:numId w:val="0"/>
              </w:numPr>
              <w:jc w:val="center"/>
              <w:rPr>
                <w:rFonts w:hint="eastAsia"/>
                <w:vertAlign w:val="baseline"/>
                <w:lang w:eastAsia="zh-CN"/>
              </w:rPr>
            </w:pPr>
            <w:r>
              <w:rPr>
                <w:rFonts w:hint="eastAsia"/>
                <w:vertAlign w:val="baseline"/>
                <w:lang w:eastAsia="zh-CN"/>
              </w:rPr>
              <w:t>服务期限</w:t>
            </w:r>
          </w:p>
        </w:tc>
        <w:tc>
          <w:tcPr>
            <w:tcW w:w="2588" w:type="dxa"/>
          </w:tcPr>
          <w:p>
            <w:pPr>
              <w:pStyle w:val="2"/>
              <w:numPr>
                <w:ilvl w:val="0"/>
                <w:numId w:val="0"/>
              </w:numPr>
              <w:jc w:val="center"/>
              <w:rPr>
                <w:rFonts w:hint="eastAsia"/>
                <w:vertAlign w:val="baseline"/>
                <w:lang w:eastAsia="zh-CN"/>
              </w:rPr>
            </w:pPr>
            <w:r>
              <w:rPr>
                <w:rFonts w:hint="eastAsia"/>
                <w:vertAlign w:val="baseline"/>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2"/>
              <w:numPr>
                <w:ilvl w:val="0"/>
                <w:numId w:val="0"/>
              </w:numPr>
              <w:jc w:val="center"/>
              <w:rPr>
                <w:rFonts w:hint="eastAsia"/>
                <w:vertAlign w:val="baseline"/>
                <w:lang w:eastAsia="zh-CN"/>
              </w:rPr>
            </w:pPr>
            <w:r>
              <w:rPr>
                <w:rFonts w:hint="eastAsia"/>
                <w:vertAlign w:val="baseline"/>
                <w:lang w:eastAsia="zh-CN"/>
              </w:rPr>
              <w:t>空调、消毒机清洗</w:t>
            </w:r>
          </w:p>
        </w:tc>
        <w:tc>
          <w:tcPr>
            <w:tcW w:w="2130" w:type="dxa"/>
          </w:tcPr>
          <w:p>
            <w:pPr>
              <w:pStyle w:val="2"/>
              <w:numPr>
                <w:ilvl w:val="0"/>
                <w:numId w:val="0"/>
              </w:numPr>
              <w:jc w:val="center"/>
              <w:rPr>
                <w:rFonts w:hint="default"/>
                <w:vertAlign w:val="baseline"/>
                <w:lang w:val="en-US" w:eastAsia="zh-CN"/>
              </w:rPr>
            </w:pPr>
            <w:r>
              <w:rPr>
                <w:rFonts w:hint="eastAsia"/>
                <w:vertAlign w:val="baseline"/>
                <w:lang w:val="en-US" w:eastAsia="zh-CN"/>
              </w:rPr>
              <w:t>9元/台（1.5万）</w:t>
            </w:r>
          </w:p>
        </w:tc>
        <w:tc>
          <w:tcPr>
            <w:tcW w:w="1674" w:type="dxa"/>
          </w:tcPr>
          <w:p>
            <w:pPr>
              <w:pStyle w:val="2"/>
              <w:numPr>
                <w:ilvl w:val="0"/>
                <w:numId w:val="0"/>
              </w:numPr>
              <w:jc w:val="center"/>
              <w:rPr>
                <w:rFonts w:hint="default"/>
                <w:vertAlign w:val="baseline"/>
                <w:lang w:val="en-US" w:eastAsia="zh-CN"/>
              </w:rPr>
            </w:pPr>
            <w:r>
              <w:rPr>
                <w:rFonts w:hint="eastAsia"/>
                <w:vertAlign w:val="baseline"/>
                <w:lang w:val="en-US" w:eastAsia="zh-CN"/>
              </w:rPr>
              <w:t>1年</w:t>
            </w:r>
          </w:p>
        </w:tc>
        <w:tc>
          <w:tcPr>
            <w:tcW w:w="2588" w:type="dxa"/>
          </w:tcPr>
          <w:p>
            <w:pPr>
              <w:pStyle w:val="2"/>
              <w:numPr>
                <w:ilvl w:val="0"/>
                <w:numId w:val="0"/>
              </w:numPr>
              <w:jc w:val="center"/>
              <w:rPr>
                <w:rFonts w:hint="eastAsia"/>
                <w:vertAlign w:val="baseline"/>
                <w:lang w:eastAsia="zh-CN"/>
              </w:rPr>
            </w:pPr>
            <w:r>
              <w:rPr>
                <w:rFonts w:hint="eastAsia"/>
                <w:vertAlign w:val="baseline"/>
                <w:lang w:eastAsia="zh-CN"/>
              </w:rPr>
              <w:t>空调、消毒机外机擦拭滤网清洗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2"/>
              <w:numPr>
                <w:ilvl w:val="0"/>
                <w:numId w:val="0"/>
              </w:numPr>
              <w:jc w:val="center"/>
              <w:rPr>
                <w:rFonts w:hint="eastAsia"/>
                <w:vertAlign w:val="baseline"/>
                <w:lang w:eastAsia="zh-CN"/>
              </w:rPr>
            </w:pPr>
            <w:r>
              <w:rPr>
                <w:rFonts w:hint="eastAsia"/>
                <w:vertAlign w:val="baseline"/>
                <w:lang w:eastAsia="zh-CN"/>
              </w:rPr>
              <w:t>窗帘、隔离帘清洗</w:t>
            </w:r>
          </w:p>
        </w:tc>
        <w:tc>
          <w:tcPr>
            <w:tcW w:w="2130" w:type="dxa"/>
          </w:tcPr>
          <w:p>
            <w:pPr>
              <w:pStyle w:val="2"/>
              <w:numPr>
                <w:ilvl w:val="0"/>
                <w:numId w:val="0"/>
              </w:numPr>
              <w:jc w:val="center"/>
              <w:rPr>
                <w:rFonts w:hint="default"/>
                <w:vertAlign w:val="baseline"/>
                <w:lang w:val="en-US" w:eastAsia="zh-CN"/>
              </w:rPr>
            </w:pPr>
            <w:r>
              <w:rPr>
                <w:rFonts w:hint="eastAsia"/>
                <w:vertAlign w:val="baseline"/>
                <w:lang w:val="en-US" w:eastAsia="zh-CN"/>
              </w:rPr>
              <w:t>13.5元/副（3万）</w:t>
            </w:r>
          </w:p>
        </w:tc>
        <w:tc>
          <w:tcPr>
            <w:tcW w:w="1674" w:type="dxa"/>
          </w:tcPr>
          <w:p>
            <w:pPr>
              <w:pStyle w:val="2"/>
              <w:numPr>
                <w:ilvl w:val="0"/>
                <w:numId w:val="0"/>
              </w:numPr>
              <w:jc w:val="center"/>
              <w:rPr>
                <w:rFonts w:hint="default"/>
                <w:vertAlign w:val="baseline"/>
                <w:lang w:val="en-US" w:eastAsia="zh-CN"/>
              </w:rPr>
            </w:pPr>
            <w:r>
              <w:rPr>
                <w:rFonts w:hint="eastAsia"/>
                <w:vertAlign w:val="baseline"/>
                <w:lang w:val="en-US" w:eastAsia="zh-CN"/>
              </w:rPr>
              <w:t>1年</w:t>
            </w:r>
          </w:p>
        </w:tc>
        <w:tc>
          <w:tcPr>
            <w:tcW w:w="2588" w:type="dxa"/>
          </w:tcPr>
          <w:p>
            <w:pPr>
              <w:pStyle w:val="2"/>
              <w:numPr>
                <w:ilvl w:val="0"/>
                <w:numId w:val="0"/>
              </w:numPr>
              <w:jc w:val="center"/>
              <w:rPr>
                <w:rFonts w:hint="eastAsia"/>
                <w:vertAlign w:val="baseline"/>
                <w:lang w:eastAsia="zh-CN"/>
              </w:rPr>
            </w:pPr>
            <w:r>
              <w:rPr>
                <w:rFonts w:hint="eastAsia"/>
                <w:vertAlign w:val="baseline"/>
                <w:lang w:eastAsia="zh-CN"/>
              </w:rPr>
              <w:t>窗帘、隔离帘拆挂清洗</w:t>
            </w:r>
          </w:p>
        </w:tc>
      </w:tr>
    </w:tbl>
    <w:p>
      <w:pPr>
        <w:pStyle w:val="2"/>
        <w:numPr>
          <w:ilvl w:val="0"/>
          <w:numId w:val="0"/>
        </w:numPr>
        <w:rPr>
          <w:rFonts w:hint="eastAsia"/>
          <w:lang w:eastAsia="zh-CN"/>
        </w:rPr>
      </w:pPr>
    </w:p>
    <w:p>
      <w:pPr>
        <w:jc w:val="left"/>
        <w:rPr>
          <w:sz w:val="22"/>
          <w:szCs w:val="28"/>
        </w:rPr>
      </w:pPr>
      <w:r>
        <w:rPr>
          <w:rFonts w:hint="eastAsia"/>
          <w:sz w:val="22"/>
          <w:szCs w:val="28"/>
          <w:lang w:eastAsia="zh-CN"/>
        </w:rPr>
        <w:t>二、</w:t>
      </w:r>
      <w:r>
        <w:rPr>
          <w:rFonts w:hint="eastAsia"/>
          <w:sz w:val="22"/>
          <w:szCs w:val="28"/>
        </w:rPr>
        <w:t>服务要求：</w:t>
      </w:r>
    </w:p>
    <w:p>
      <w:pPr>
        <w:numPr>
          <w:ilvl w:val="0"/>
          <w:numId w:val="2"/>
        </w:numPr>
        <w:ind w:firstLine="440" w:firstLineChars="200"/>
        <w:jc w:val="left"/>
        <w:rPr>
          <w:sz w:val="22"/>
          <w:szCs w:val="28"/>
        </w:rPr>
      </w:pPr>
      <w:r>
        <w:rPr>
          <w:rFonts w:hint="eastAsia"/>
          <w:sz w:val="22"/>
          <w:szCs w:val="28"/>
        </w:rPr>
        <w:t>采购清单内的项目必须严格执行，但不限于仅按采购清单执行，如有特殊情况或特殊要求可扩大服务范围；</w:t>
      </w:r>
    </w:p>
    <w:p>
      <w:pPr>
        <w:numPr>
          <w:ilvl w:val="0"/>
          <w:numId w:val="2"/>
        </w:numPr>
        <w:ind w:firstLine="440" w:firstLineChars="200"/>
        <w:jc w:val="left"/>
        <w:rPr>
          <w:sz w:val="22"/>
          <w:szCs w:val="28"/>
        </w:rPr>
      </w:pPr>
      <w:r>
        <w:rPr>
          <w:rFonts w:hint="eastAsia"/>
          <w:sz w:val="22"/>
          <w:szCs w:val="28"/>
        </w:rPr>
        <w:t>空调、消毒</w:t>
      </w:r>
      <w:r>
        <w:rPr>
          <w:rFonts w:hint="eastAsia"/>
          <w:sz w:val="22"/>
          <w:szCs w:val="28"/>
          <w:lang w:eastAsia="zh-CN"/>
        </w:rPr>
        <w:t>机</w:t>
      </w:r>
      <w:bookmarkStart w:id="0" w:name="_GoBack"/>
      <w:bookmarkEnd w:id="0"/>
      <w:r>
        <w:rPr>
          <w:rFonts w:hint="eastAsia"/>
          <w:sz w:val="22"/>
          <w:szCs w:val="28"/>
        </w:rPr>
        <w:t>外壳和相应部件清洗相对简单，清水中加少许清洁剂擦拭清洗干净，符合清洗操作要求；</w:t>
      </w:r>
    </w:p>
    <w:p>
      <w:pPr>
        <w:numPr>
          <w:ilvl w:val="0"/>
          <w:numId w:val="2"/>
        </w:numPr>
        <w:ind w:firstLine="440" w:firstLineChars="200"/>
        <w:jc w:val="left"/>
        <w:rPr>
          <w:sz w:val="22"/>
          <w:szCs w:val="28"/>
        </w:rPr>
      </w:pPr>
      <w:r>
        <w:rPr>
          <w:rFonts w:hint="eastAsia"/>
          <w:sz w:val="22"/>
          <w:szCs w:val="28"/>
        </w:rPr>
        <w:t>空调、消毒机过滤网的清洗，打开机盒盖，取出过滤网，先用刷子将过滤网上的赃物刷干净，然后在清洁液中浸泡10-20分钟，保证过滤孔无脏堵痕迹，将过滤网擦净后安装到机体；</w:t>
      </w:r>
    </w:p>
    <w:p>
      <w:pPr>
        <w:numPr>
          <w:ilvl w:val="0"/>
          <w:numId w:val="2"/>
        </w:numPr>
        <w:ind w:firstLine="440" w:firstLineChars="200"/>
        <w:jc w:val="left"/>
        <w:rPr>
          <w:sz w:val="22"/>
        </w:rPr>
      </w:pPr>
      <w:r>
        <w:rPr>
          <w:rFonts w:hint="eastAsia"/>
          <w:sz w:val="22"/>
          <w:szCs w:val="28"/>
        </w:rPr>
        <w:t>空调、消毒机一年全面清洗2次，6月30日前一次，12月31日前一次，特殊科室按院感消毒清洁要求，接到科室通知后及时安排人员在规定时间内完成科室清洗工作；</w:t>
      </w:r>
    </w:p>
    <w:p>
      <w:pPr>
        <w:numPr>
          <w:ilvl w:val="0"/>
          <w:numId w:val="2"/>
        </w:numPr>
        <w:ind w:firstLine="440" w:firstLineChars="200"/>
        <w:jc w:val="left"/>
        <w:rPr>
          <w:sz w:val="22"/>
          <w:szCs w:val="28"/>
        </w:rPr>
      </w:pPr>
      <w:r>
        <w:rPr>
          <w:rFonts w:hint="eastAsia"/>
          <w:sz w:val="22"/>
          <w:szCs w:val="28"/>
        </w:rPr>
        <w:t>专人负责拆挂各科室隔离帘、窗帘，与科室当面清点数量并双方签字。</w:t>
      </w:r>
    </w:p>
    <w:p>
      <w:pPr>
        <w:numPr>
          <w:ilvl w:val="0"/>
          <w:numId w:val="2"/>
        </w:numPr>
        <w:ind w:firstLine="440" w:firstLineChars="200"/>
        <w:jc w:val="left"/>
        <w:rPr>
          <w:sz w:val="22"/>
          <w:szCs w:val="28"/>
        </w:rPr>
      </w:pPr>
      <w:r>
        <w:rPr>
          <w:rFonts w:hint="eastAsia"/>
          <w:sz w:val="22"/>
          <w:szCs w:val="28"/>
        </w:rPr>
        <w:t>收回的污染窗帘、隔离帘的布类物品，要及时分类消毒、洗涤、干燥、烫平、折叠分类放置。凡发现破损及时与科室负责人沟通说明原因。</w:t>
      </w:r>
    </w:p>
    <w:p>
      <w:pPr>
        <w:numPr>
          <w:ilvl w:val="0"/>
          <w:numId w:val="2"/>
        </w:numPr>
        <w:ind w:firstLine="440" w:firstLineChars="200"/>
        <w:jc w:val="left"/>
        <w:rPr>
          <w:sz w:val="22"/>
          <w:szCs w:val="28"/>
        </w:rPr>
      </w:pPr>
      <w:r>
        <w:rPr>
          <w:rFonts w:hint="eastAsia"/>
          <w:sz w:val="22"/>
          <w:szCs w:val="28"/>
        </w:rPr>
        <w:t>严格操作规程和分类洗涤制度，防止交叉感染。</w:t>
      </w:r>
    </w:p>
    <w:p>
      <w:pPr>
        <w:numPr>
          <w:ilvl w:val="0"/>
          <w:numId w:val="2"/>
        </w:numPr>
        <w:ind w:firstLine="440" w:firstLineChars="200"/>
        <w:jc w:val="left"/>
        <w:rPr>
          <w:sz w:val="22"/>
          <w:szCs w:val="28"/>
        </w:rPr>
      </w:pPr>
      <w:r>
        <w:rPr>
          <w:rFonts w:hint="eastAsia"/>
          <w:sz w:val="22"/>
          <w:szCs w:val="28"/>
        </w:rPr>
        <w:t>对污染严重窗帘、隔离帘，先消毒处置后，再进行清洗,物品要进行高温消毒。被血渍等污染的物品，应先行去污、消毒处理后方可清洗。</w:t>
      </w:r>
    </w:p>
    <w:p>
      <w:pPr>
        <w:numPr>
          <w:ilvl w:val="0"/>
          <w:numId w:val="2"/>
        </w:numPr>
        <w:ind w:firstLine="440" w:firstLineChars="200"/>
        <w:jc w:val="left"/>
        <w:rPr>
          <w:sz w:val="22"/>
          <w:szCs w:val="28"/>
        </w:rPr>
      </w:pPr>
      <w:r>
        <w:rPr>
          <w:rFonts w:hint="eastAsia"/>
          <w:sz w:val="22"/>
          <w:szCs w:val="28"/>
        </w:rPr>
        <w:t>窗帘、隔离帘一年全面清洗1次，6月30日前完成全院各科室清洗工作，特殊科室按院感消毒清洁要求，接到科室通知后及时安排人员在规定时间内完成科室清洗工作；</w:t>
      </w:r>
      <w:r>
        <w:rPr>
          <w:sz w:val="22"/>
          <w:szCs w:val="28"/>
        </w:rPr>
        <w:t xml:space="preserve"> </w:t>
      </w:r>
    </w:p>
    <w:p>
      <w:pPr>
        <w:pStyle w:val="2"/>
        <w:numPr>
          <w:ilvl w:val="0"/>
          <w:numId w:val="0"/>
        </w:numPr>
        <w:ind w:leftChars="0"/>
        <w:rPr>
          <w:rFonts w:hint="eastAsia"/>
          <w:lang w:eastAsia="zh-CN"/>
        </w:rPr>
      </w:pPr>
      <w:r>
        <w:rPr>
          <w:rFonts w:hint="eastAsia"/>
          <w:lang w:eastAsia="zh-CN"/>
        </w:rPr>
        <w:t>三、评分标准：</w:t>
      </w:r>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710"/>
        <w:gridCol w:w="555"/>
        <w:gridCol w:w="63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05" w:type="dxa"/>
            <w:tcMar>
              <w:top w:w="15" w:type="dxa"/>
              <w:left w:w="15" w:type="dxa"/>
              <w:right w:w="15" w:type="dxa"/>
            </w:tcMar>
            <w:vAlign w:val="center"/>
          </w:tcPr>
          <w:p>
            <w:pPr>
              <w:widowControl/>
              <w:spacing w:after="120" w:line="240" w:lineRule="auto"/>
              <w:jc w:val="center"/>
              <w:rPr>
                <w:b/>
                <w:bCs/>
                <w:kern w:val="0"/>
                <w:sz w:val="21"/>
                <w:szCs w:val="21"/>
              </w:rPr>
            </w:pPr>
            <w:r>
              <w:rPr>
                <w:rFonts w:hint="eastAsia"/>
                <w:b/>
                <w:bCs/>
                <w:kern w:val="0"/>
                <w:sz w:val="21"/>
                <w:szCs w:val="21"/>
              </w:rPr>
              <w:t>序号</w:t>
            </w:r>
          </w:p>
        </w:tc>
        <w:tc>
          <w:tcPr>
            <w:tcW w:w="710" w:type="dxa"/>
            <w:tcMar>
              <w:top w:w="15" w:type="dxa"/>
              <w:left w:w="15" w:type="dxa"/>
              <w:right w:w="15" w:type="dxa"/>
            </w:tcMar>
            <w:vAlign w:val="center"/>
          </w:tcPr>
          <w:p>
            <w:pPr>
              <w:widowControl/>
              <w:spacing w:after="120" w:line="240" w:lineRule="auto"/>
              <w:jc w:val="center"/>
              <w:rPr>
                <w:b/>
                <w:bCs/>
                <w:kern w:val="0"/>
                <w:sz w:val="21"/>
                <w:szCs w:val="21"/>
              </w:rPr>
            </w:pPr>
            <w:r>
              <w:rPr>
                <w:rFonts w:hint="eastAsia"/>
                <w:b/>
                <w:bCs/>
                <w:kern w:val="0"/>
                <w:sz w:val="21"/>
                <w:szCs w:val="21"/>
              </w:rPr>
              <w:t>评分因素及权重</w:t>
            </w:r>
          </w:p>
        </w:tc>
        <w:tc>
          <w:tcPr>
            <w:tcW w:w="555" w:type="dxa"/>
            <w:tcMar>
              <w:top w:w="15" w:type="dxa"/>
              <w:left w:w="15" w:type="dxa"/>
              <w:right w:w="15" w:type="dxa"/>
            </w:tcMar>
            <w:vAlign w:val="center"/>
          </w:tcPr>
          <w:p>
            <w:pPr>
              <w:widowControl/>
              <w:spacing w:after="120" w:line="240" w:lineRule="auto"/>
              <w:jc w:val="center"/>
              <w:rPr>
                <w:b/>
                <w:bCs/>
                <w:kern w:val="0"/>
                <w:sz w:val="21"/>
                <w:szCs w:val="21"/>
              </w:rPr>
            </w:pPr>
            <w:r>
              <w:rPr>
                <w:rFonts w:hint="eastAsia"/>
                <w:b/>
                <w:bCs/>
                <w:kern w:val="0"/>
                <w:sz w:val="21"/>
                <w:szCs w:val="21"/>
              </w:rPr>
              <w:t>分值</w:t>
            </w:r>
          </w:p>
        </w:tc>
        <w:tc>
          <w:tcPr>
            <w:tcW w:w="6378" w:type="dxa"/>
            <w:tcMar>
              <w:top w:w="15" w:type="dxa"/>
              <w:left w:w="15" w:type="dxa"/>
              <w:right w:w="15" w:type="dxa"/>
            </w:tcMar>
            <w:vAlign w:val="center"/>
          </w:tcPr>
          <w:p>
            <w:pPr>
              <w:widowControl/>
              <w:spacing w:after="120" w:line="240" w:lineRule="auto"/>
              <w:jc w:val="center"/>
              <w:rPr>
                <w:b/>
                <w:bCs/>
                <w:kern w:val="0"/>
                <w:sz w:val="21"/>
                <w:szCs w:val="21"/>
              </w:rPr>
            </w:pPr>
            <w:r>
              <w:rPr>
                <w:rFonts w:hint="eastAsia"/>
                <w:b/>
                <w:bCs/>
                <w:kern w:val="0"/>
                <w:sz w:val="21"/>
                <w:szCs w:val="21"/>
              </w:rPr>
              <w:t>评分标准</w:t>
            </w:r>
          </w:p>
        </w:tc>
        <w:tc>
          <w:tcPr>
            <w:tcW w:w="578" w:type="dxa"/>
            <w:tcMar>
              <w:top w:w="15" w:type="dxa"/>
              <w:left w:w="15" w:type="dxa"/>
              <w:right w:w="15" w:type="dxa"/>
            </w:tcMar>
            <w:vAlign w:val="center"/>
          </w:tcPr>
          <w:p>
            <w:pPr>
              <w:widowControl/>
              <w:spacing w:after="120" w:line="240" w:lineRule="auto"/>
              <w:jc w:val="center"/>
              <w:rPr>
                <w:b/>
                <w:bCs/>
                <w:kern w:val="0"/>
                <w:sz w:val="21"/>
                <w:szCs w:val="21"/>
              </w:rPr>
            </w:pPr>
            <w:r>
              <w:rPr>
                <w:rFonts w:hint="eastAsia"/>
                <w:b/>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4"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rPr>
            </w:pPr>
            <w:r>
              <w:rPr>
                <w:rFonts w:hint="eastAsia"/>
                <w:kern w:val="0"/>
                <w:sz w:val="21"/>
                <w:szCs w:val="21"/>
              </w:rPr>
              <w:t>1</w:t>
            </w:r>
          </w:p>
        </w:tc>
        <w:tc>
          <w:tcPr>
            <w:tcW w:w="710" w:type="dxa"/>
            <w:tcMar>
              <w:top w:w="15" w:type="dxa"/>
              <w:left w:w="15" w:type="dxa"/>
              <w:right w:w="15" w:type="dxa"/>
            </w:tcMar>
            <w:vAlign w:val="center"/>
          </w:tcPr>
          <w:p>
            <w:pPr>
              <w:widowControl/>
              <w:spacing w:after="120" w:line="240" w:lineRule="auto"/>
              <w:jc w:val="center"/>
              <w:rPr>
                <w:kern w:val="0"/>
                <w:sz w:val="21"/>
                <w:szCs w:val="21"/>
              </w:rPr>
            </w:pPr>
            <w:r>
              <w:rPr>
                <w:rFonts w:hint="eastAsia"/>
                <w:kern w:val="0"/>
                <w:sz w:val="21"/>
                <w:szCs w:val="21"/>
              </w:rPr>
              <w:t>报价</w:t>
            </w:r>
          </w:p>
        </w:tc>
        <w:tc>
          <w:tcPr>
            <w:tcW w:w="555" w:type="dxa"/>
            <w:tcMar>
              <w:top w:w="15" w:type="dxa"/>
              <w:left w:w="15" w:type="dxa"/>
              <w:right w:w="15" w:type="dxa"/>
            </w:tcMar>
            <w:vAlign w:val="center"/>
          </w:tcPr>
          <w:p>
            <w:pPr>
              <w:widowControl/>
              <w:spacing w:after="120" w:line="240" w:lineRule="auto"/>
              <w:jc w:val="center"/>
              <w:rPr>
                <w:kern w:val="0"/>
                <w:sz w:val="21"/>
                <w:szCs w:val="21"/>
              </w:rPr>
            </w:pPr>
            <w:r>
              <w:rPr>
                <w:rFonts w:hint="eastAsia"/>
                <w:kern w:val="0"/>
                <w:sz w:val="21"/>
                <w:szCs w:val="21"/>
              </w:rPr>
              <w:t>10分</w:t>
            </w:r>
          </w:p>
        </w:tc>
        <w:tc>
          <w:tcPr>
            <w:tcW w:w="6378" w:type="dxa"/>
            <w:tcMar>
              <w:top w:w="15" w:type="dxa"/>
              <w:left w:w="15" w:type="dxa"/>
              <w:right w:w="15" w:type="dxa"/>
            </w:tcMar>
            <w:vAlign w:val="center"/>
          </w:tcPr>
          <w:p>
            <w:pPr>
              <w:widowControl/>
              <w:spacing w:after="120" w:line="240" w:lineRule="auto"/>
              <w:ind w:left="210" w:leftChars="100"/>
              <w:rPr>
                <w:kern w:val="0"/>
                <w:sz w:val="21"/>
                <w:szCs w:val="21"/>
              </w:rPr>
            </w:pPr>
            <w:r>
              <w:rPr>
                <w:rFonts w:hint="eastAsia"/>
                <w:kern w:val="0"/>
                <w:sz w:val="21"/>
                <w:szCs w:val="21"/>
              </w:rPr>
              <w:t>以磋商小组认定的最终有效报价中的最低报价为评标基准价，其价格分为满分。其他供应商的价格分统一按下列公式计算：磋商报价得分=（评标基准价/报价）×分值</w:t>
            </w:r>
          </w:p>
          <w:p>
            <w:pPr>
              <w:widowControl/>
              <w:spacing w:after="120" w:line="240" w:lineRule="auto"/>
              <w:ind w:left="210" w:leftChars="100"/>
              <w:rPr>
                <w:kern w:val="0"/>
                <w:sz w:val="21"/>
                <w:szCs w:val="21"/>
              </w:rPr>
            </w:pPr>
            <w:r>
              <w:rPr>
                <w:rFonts w:hint="eastAsia"/>
                <w:kern w:val="0"/>
                <w:sz w:val="21"/>
                <w:szCs w:val="21"/>
              </w:rPr>
              <w:t>一、小微企业（监狱企业、残疾人福利性单位视同小微企业）价格扣除。</w:t>
            </w:r>
          </w:p>
          <w:p>
            <w:pPr>
              <w:widowControl/>
              <w:spacing w:after="120" w:line="240" w:lineRule="auto"/>
              <w:ind w:left="210" w:leftChars="100"/>
              <w:rPr>
                <w:kern w:val="0"/>
                <w:sz w:val="21"/>
                <w:szCs w:val="21"/>
              </w:rPr>
            </w:pPr>
            <w:r>
              <w:rPr>
                <w:rFonts w:hint="eastAsia"/>
                <w:kern w:val="0"/>
                <w:sz w:val="21"/>
                <w:szCs w:val="21"/>
              </w:rPr>
              <w:t>1、参照财库【2020】46号关于印发《政府采购促进中小企业发展管理办法》的通知的规定，对小型和微型企业产品的价格给予10%的价格扣除，用扣除后的价格参与评审。</w:t>
            </w:r>
          </w:p>
          <w:p>
            <w:pPr>
              <w:widowControl/>
              <w:spacing w:after="120" w:line="240" w:lineRule="auto"/>
              <w:ind w:left="210" w:leftChars="100"/>
              <w:rPr>
                <w:kern w:val="0"/>
                <w:sz w:val="21"/>
                <w:szCs w:val="21"/>
              </w:rPr>
            </w:pPr>
            <w:r>
              <w:rPr>
                <w:rFonts w:hint="eastAsia"/>
                <w:kern w:val="0"/>
                <w:sz w:val="21"/>
                <w:szCs w:val="21"/>
              </w:rPr>
              <w:t>2、参加采购活动的中小企业应当提供《中小企业声明函》原件，残疾人福利性单位应当提供《残疾人福利性单位声明函）原件,监狱企业应当提供《监狱企业声明函》原件。</w:t>
            </w:r>
          </w:p>
          <w:p>
            <w:pPr>
              <w:widowControl/>
              <w:spacing w:after="120" w:line="240" w:lineRule="auto"/>
              <w:ind w:left="210" w:leftChars="100" w:firstLine="210" w:firstLineChars="100"/>
              <w:rPr>
                <w:kern w:val="0"/>
                <w:sz w:val="21"/>
                <w:szCs w:val="21"/>
              </w:rPr>
            </w:pPr>
            <w:r>
              <w:rPr>
                <w:rFonts w:hint="eastAsia"/>
                <w:kern w:val="0"/>
                <w:sz w:val="21"/>
                <w:szCs w:val="21"/>
              </w:rPr>
              <w:t>二、</w:t>
            </w:r>
            <w:r>
              <w:rPr>
                <w:rFonts w:hint="eastAsia" w:cs="仿宋"/>
                <w:kern w:val="0"/>
                <w:sz w:val="21"/>
                <w:szCs w:val="21"/>
              </w:rPr>
              <w:t>失信企业报价加成</w:t>
            </w:r>
            <w:r>
              <w:rPr>
                <w:rFonts w:hint="eastAsia"/>
                <w:kern w:val="0"/>
                <w:sz w:val="21"/>
                <w:szCs w:val="21"/>
              </w:rPr>
              <w:t>。</w:t>
            </w:r>
          </w:p>
          <w:p>
            <w:pPr>
              <w:widowControl/>
              <w:spacing w:after="120" w:line="240" w:lineRule="auto"/>
              <w:ind w:left="210" w:leftChars="100" w:firstLine="210" w:firstLineChars="100"/>
              <w:rPr>
                <w:kern w:val="0"/>
                <w:sz w:val="21"/>
                <w:szCs w:val="21"/>
              </w:rPr>
            </w:pPr>
            <w:r>
              <w:rPr>
                <w:rFonts w:hint="eastAsia"/>
                <w:kern w:val="0"/>
                <w:sz w:val="21"/>
                <w:szCs w:val="21"/>
              </w:rPr>
              <w:t>1.对记入诚信档案且在有效期内的失信供应商，参加采购活动按照10%的报价加成，以加成后报价作为该供应商报价参与评审。供应商失信行为惩戒实行无限制累加制，因其失信行为进行报价加成惩戒后报价超过采购预算的，其响应文件按照无效处理。</w:t>
            </w:r>
          </w:p>
          <w:p>
            <w:pPr>
              <w:widowControl/>
              <w:spacing w:after="120" w:line="240" w:lineRule="auto"/>
              <w:ind w:left="210" w:leftChars="100"/>
              <w:rPr>
                <w:kern w:val="0"/>
                <w:sz w:val="21"/>
                <w:szCs w:val="21"/>
              </w:rPr>
            </w:pPr>
            <w:r>
              <w:rPr>
                <w:rFonts w:hint="eastAsia"/>
                <w:kern w:val="0"/>
                <w:sz w:val="21"/>
                <w:szCs w:val="21"/>
              </w:rPr>
              <w:t>2.供应商参加采购活动时，应当就自己的诚信情况在响应文件中进行承诺。</w:t>
            </w:r>
          </w:p>
        </w:tc>
        <w:tc>
          <w:tcPr>
            <w:tcW w:w="578" w:type="dxa"/>
            <w:tcMar>
              <w:top w:w="15" w:type="dxa"/>
              <w:left w:w="15" w:type="dxa"/>
              <w:right w:w="15" w:type="dxa"/>
            </w:tcMar>
            <w:vAlign w:val="center"/>
          </w:tcPr>
          <w:p>
            <w:pPr>
              <w:widowControl/>
              <w:spacing w:after="120" w:line="240" w:lineRule="auto"/>
              <w:jc w:val="center"/>
              <w:rPr>
                <w:kern w:val="0"/>
                <w:sz w:val="21"/>
                <w:szCs w:val="21"/>
              </w:rPr>
            </w:pPr>
            <w:r>
              <w:rPr>
                <w:rFonts w:hint="eastAsia"/>
                <w:kern w:val="0"/>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2</w:t>
            </w:r>
          </w:p>
        </w:tc>
        <w:tc>
          <w:tcPr>
            <w:tcW w:w="710"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服务</w:t>
            </w:r>
          </w:p>
          <w:p>
            <w:pPr>
              <w:widowControl/>
              <w:spacing w:after="120" w:line="240" w:lineRule="auto"/>
              <w:jc w:val="center"/>
              <w:rPr>
                <w:kern w:val="0"/>
                <w:sz w:val="21"/>
                <w:szCs w:val="21"/>
                <w:highlight w:val="none"/>
              </w:rPr>
            </w:pPr>
            <w:r>
              <w:rPr>
                <w:rFonts w:hint="eastAsia"/>
                <w:kern w:val="0"/>
                <w:sz w:val="21"/>
                <w:szCs w:val="21"/>
                <w:highlight w:val="none"/>
              </w:rPr>
              <w:t>方案</w:t>
            </w:r>
          </w:p>
        </w:tc>
        <w:tc>
          <w:tcPr>
            <w:tcW w:w="55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30分</w:t>
            </w:r>
          </w:p>
        </w:tc>
        <w:tc>
          <w:tcPr>
            <w:tcW w:w="6378" w:type="dxa"/>
            <w:tcMar>
              <w:top w:w="15" w:type="dxa"/>
              <w:left w:w="15" w:type="dxa"/>
              <w:right w:w="15" w:type="dxa"/>
            </w:tcMar>
            <w:vAlign w:val="center"/>
          </w:tcPr>
          <w:p>
            <w:pPr>
              <w:widowControl/>
              <w:spacing w:after="200" w:line="240" w:lineRule="auto"/>
              <w:ind w:firstLine="210" w:firstLineChars="100"/>
              <w:rPr>
                <w:kern w:val="0"/>
                <w:sz w:val="21"/>
                <w:szCs w:val="21"/>
                <w:highlight w:val="none"/>
              </w:rPr>
            </w:pPr>
            <w:r>
              <w:rPr>
                <w:rFonts w:hint="eastAsia"/>
                <w:kern w:val="0"/>
                <w:sz w:val="21"/>
                <w:szCs w:val="21"/>
                <w:highlight w:val="none"/>
              </w:rPr>
              <w:t>针对本项目提供服务方案：①清洗操作规则</w:t>
            </w:r>
            <w:r>
              <w:rPr>
                <w:rFonts w:hint="eastAsia"/>
                <w:kern w:val="0"/>
                <w:sz w:val="21"/>
                <w:szCs w:val="21"/>
                <w:highlight w:val="none"/>
                <w:lang w:eastAsia="zh-CN"/>
              </w:rPr>
              <w:t>；</w:t>
            </w:r>
            <w:r>
              <w:rPr>
                <w:rFonts w:hint="eastAsia"/>
                <w:kern w:val="0"/>
                <w:sz w:val="21"/>
                <w:szCs w:val="21"/>
                <w:highlight w:val="none"/>
              </w:rPr>
              <w:t>②清洗流程；③人员管理及培训；</w:t>
            </w:r>
            <w:r>
              <w:rPr>
                <w:rFonts w:cs="宋体"/>
                <w:kern w:val="0"/>
                <w:sz w:val="21"/>
                <w:szCs w:val="21"/>
                <w:highlight w:val="none"/>
                <w:lang w:val="zh-CN" w:bidi="zh-CN"/>
              </w:rPr>
              <w:t>供应商每有一项不完整或不合理，不能满足采购需求的扣</w:t>
            </w:r>
            <w:r>
              <w:rPr>
                <w:rFonts w:hint="eastAsia" w:cs="宋体"/>
                <w:kern w:val="0"/>
                <w:sz w:val="21"/>
                <w:szCs w:val="21"/>
                <w:highlight w:val="none"/>
                <w:lang w:bidi="zh-CN"/>
              </w:rPr>
              <w:t>6</w:t>
            </w:r>
            <w:r>
              <w:rPr>
                <w:rFonts w:cs="宋体"/>
                <w:kern w:val="0"/>
                <w:sz w:val="21"/>
                <w:szCs w:val="21"/>
                <w:highlight w:val="none"/>
                <w:lang w:val="zh-CN" w:bidi="zh-CN"/>
              </w:rPr>
              <w:t>分，扣完为止。本项满分为</w:t>
            </w:r>
            <w:r>
              <w:rPr>
                <w:rFonts w:hint="eastAsia" w:cs="宋体"/>
                <w:kern w:val="0"/>
                <w:sz w:val="21"/>
                <w:szCs w:val="21"/>
                <w:highlight w:val="none"/>
                <w:lang w:bidi="zh-CN"/>
              </w:rPr>
              <w:t>30</w:t>
            </w:r>
            <w:r>
              <w:rPr>
                <w:rFonts w:cs="宋体"/>
                <w:kern w:val="0"/>
                <w:sz w:val="21"/>
                <w:szCs w:val="21"/>
                <w:highlight w:val="none"/>
                <w:lang w:val="zh-CN" w:bidi="zh-CN"/>
              </w:rPr>
              <w:t>分。</w:t>
            </w:r>
          </w:p>
        </w:tc>
        <w:tc>
          <w:tcPr>
            <w:tcW w:w="578"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3"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3</w:t>
            </w:r>
          </w:p>
        </w:tc>
        <w:tc>
          <w:tcPr>
            <w:tcW w:w="710" w:type="dxa"/>
            <w:tcMar>
              <w:top w:w="15" w:type="dxa"/>
              <w:left w:w="15" w:type="dxa"/>
              <w:right w:w="15" w:type="dxa"/>
            </w:tcMar>
            <w:vAlign w:val="center"/>
          </w:tcPr>
          <w:p>
            <w:pPr>
              <w:widowControl/>
              <w:spacing w:after="120" w:line="240" w:lineRule="auto"/>
              <w:rPr>
                <w:kern w:val="0"/>
                <w:sz w:val="21"/>
                <w:szCs w:val="21"/>
                <w:highlight w:val="none"/>
              </w:rPr>
            </w:pPr>
            <w:r>
              <w:rPr>
                <w:rFonts w:hint="eastAsia"/>
                <w:kern w:val="0"/>
                <w:sz w:val="21"/>
                <w:szCs w:val="21"/>
                <w:highlight w:val="none"/>
              </w:rPr>
              <w:t>项目进度保障计划</w:t>
            </w:r>
          </w:p>
        </w:tc>
        <w:tc>
          <w:tcPr>
            <w:tcW w:w="555" w:type="dxa"/>
            <w:tcMar>
              <w:top w:w="15" w:type="dxa"/>
              <w:left w:w="15" w:type="dxa"/>
              <w:right w:w="15" w:type="dxa"/>
            </w:tcMar>
            <w:vAlign w:val="center"/>
          </w:tcPr>
          <w:p>
            <w:pPr>
              <w:widowControl/>
              <w:spacing w:after="120" w:line="240" w:lineRule="auto"/>
              <w:rPr>
                <w:kern w:val="0"/>
                <w:sz w:val="21"/>
                <w:szCs w:val="21"/>
                <w:highlight w:val="none"/>
              </w:rPr>
            </w:pPr>
            <w:r>
              <w:rPr>
                <w:rFonts w:hint="eastAsia"/>
                <w:kern w:val="0"/>
                <w:sz w:val="21"/>
                <w:szCs w:val="21"/>
                <w:highlight w:val="none"/>
              </w:rPr>
              <w:t>20分</w:t>
            </w:r>
          </w:p>
        </w:tc>
        <w:tc>
          <w:tcPr>
            <w:tcW w:w="6378" w:type="dxa"/>
            <w:tcMar>
              <w:top w:w="15" w:type="dxa"/>
              <w:left w:w="15" w:type="dxa"/>
              <w:right w:w="15" w:type="dxa"/>
            </w:tcMar>
            <w:vAlign w:val="center"/>
          </w:tcPr>
          <w:p>
            <w:pPr>
              <w:widowControl/>
              <w:spacing w:after="200" w:line="240" w:lineRule="auto"/>
              <w:ind w:firstLine="210" w:firstLineChars="100"/>
              <w:rPr>
                <w:kern w:val="0"/>
                <w:sz w:val="21"/>
                <w:szCs w:val="21"/>
                <w:highlight w:val="none"/>
              </w:rPr>
            </w:pPr>
            <w:r>
              <w:rPr>
                <w:rFonts w:cs="宋体"/>
                <w:kern w:val="0"/>
                <w:sz w:val="21"/>
                <w:szCs w:val="21"/>
                <w:highlight w:val="none"/>
                <w:lang w:val="zh-CN" w:bidi="zh-CN"/>
              </w:rPr>
              <w:t>《质量</w:t>
            </w:r>
            <w:r>
              <w:rPr>
                <w:rFonts w:hint="eastAsia" w:cs="宋体"/>
                <w:kern w:val="0"/>
                <w:sz w:val="21"/>
                <w:szCs w:val="21"/>
                <w:highlight w:val="none"/>
                <w:lang w:val="zh-CN" w:bidi="zh-CN"/>
              </w:rPr>
              <w:t>保障</w:t>
            </w:r>
            <w:r>
              <w:rPr>
                <w:rFonts w:cs="宋体"/>
                <w:kern w:val="0"/>
                <w:sz w:val="21"/>
                <w:szCs w:val="21"/>
                <w:highlight w:val="none"/>
                <w:lang w:val="zh-CN" w:bidi="zh-CN"/>
              </w:rPr>
              <w:t>措施》包括但不限于以下要素</w:t>
            </w:r>
            <w:r>
              <w:rPr>
                <w:rFonts w:hint="eastAsia" w:cs="宋体"/>
                <w:kern w:val="0"/>
                <w:sz w:val="21"/>
                <w:szCs w:val="21"/>
                <w:highlight w:val="none"/>
                <w:lang w:val="zh-CN" w:bidi="zh-CN"/>
              </w:rPr>
              <w:t>：</w:t>
            </w:r>
            <w:r>
              <w:rPr>
                <w:rFonts w:cs="宋体"/>
                <w:kern w:val="0"/>
                <w:sz w:val="21"/>
                <w:szCs w:val="21"/>
                <w:highlight w:val="none"/>
                <w:lang w:val="zh-CN" w:bidi="zh-CN"/>
              </w:rPr>
              <w:t>①</w:t>
            </w:r>
            <w:r>
              <w:rPr>
                <w:rFonts w:hint="eastAsia" w:cs="宋体"/>
                <w:kern w:val="0"/>
                <w:sz w:val="21"/>
                <w:szCs w:val="21"/>
                <w:highlight w:val="none"/>
                <w:lang w:val="zh-CN" w:bidi="zh-CN"/>
              </w:rPr>
              <w:t>清洗进度计划</w:t>
            </w:r>
            <w:r>
              <w:rPr>
                <w:rFonts w:cs="宋体"/>
                <w:kern w:val="0"/>
                <w:sz w:val="21"/>
                <w:szCs w:val="21"/>
                <w:highlight w:val="none"/>
                <w:lang w:val="zh-CN" w:bidi="zh-CN"/>
              </w:rPr>
              <w:t>； ②</w:t>
            </w:r>
            <w:r>
              <w:rPr>
                <w:rFonts w:hint="eastAsia" w:cs="宋体"/>
                <w:kern w:val="0"/>
                <w:sz w:val="21"/>
                <w:szCs w:val="21"/>
                <w:highlight w:val="none"/>
                <w:lang w:val="zh-CN" w:bidi="zh-CN"/>
              </w:rPr>
              <w:t>项目进度保障措施</w:t>
            </w:r>
            <w:r>
              <w:rPr>
                <w:rFonts w:cs="宋体"/>
                <w:kern w:val="0"/>
                <w:sz w:val="21"/>
                <w:szCs w:val="21"/>
                <w:highlight w:val="none"/>
                <w:lang w:val="zh-CN" w:bidi="zh-CN"/>
              </w:rPr>
              <w:t>；③</w:t>
            </w:r>
            <w:r>
              <w:rPr>
                <w:rFonts w:hint="eastAsia" w:cs="宋体"/>
                <w:kern w:val="0"/>
                <w:sz w:val="21"/>
                <w:szCs w:val="21"/>
                <w:highlight w:val="none"/>
                <w:lang w:val="zh-CN" w:bidi="zh-CN"/>
              </w:rPr>
              <w:t>项目进度管理方案</w:t>
            </w:r>
            <w:r>
              <w:rPr>
                <w:rFonts w:cs="宋体"/>
                <w:kern w:val="0"/>
                <w:sz w:val="21"/>
                <w:szCs w:val="21"/>
                <w:highlight w:val="none"/>
                <w:lang w:val="zh-CN" w:bidi="zh-CN"/>
              </w:rPr>
              <w:t>；④</w:t>
            </w:r>
            <w:r>
              <w:rPr>
                <w:rFonts w:hint="eastAsia" w:cs="宋体"/>
                <w:kern w:val="0"/>
                <w:sz w:val="21"/>
                <w:szCs w:val="21"/>
                <w:highlight w:val="none"/>
                <w:lang w:val="zh-CN" w:bidi="zh-CN"/>
              </w:rPr>
              <w:t>质量标准和验收检查方法</w:t>
            </w:r>
            <w:r>
              <w:rPr>
                <w:rFonts w:cs="宋体"/>
                <w:kern w:val="0"/>
                <w:sz w:val="21"/>
                <w:szCs w:val="21"/>
                <w:highlight w:val="none"/>
                <w:lang w:val="zh-CN" w:bidi="zh-CN"/>
              </w:rPr>
              <w:t>；供应商每有一项不完整或不合理，不能满足采购需求的扣</w:t>
            </w:r>
            <w:r>
              <w:rPr>
                <w:rFonts w:hint="eastAsia" w:cs="宋体"/>
                <w:kern w:val="0"/>
                <w:sz w:val="21"/>
                <w:szCs w:val="21"/>
                <w:highlight w:val="none"/>
                <w:lang w:bidi="zh-CN"/>
              </w:rPr>
              <w:t>5</w:t>
            </w:r>
            <w:r>
              <w:rPr>
                <w:rFonts w:cs="宋体"/>
                <w:kern w:val="0"/>
                <w:sz w:val="21"/>
                <w:szCs w:val="21"/>
                <w:highlight w:val="none"/>
                <w:lang w:val="zh-CN" w:bidi="zh-CN"/>
              </w:rPr>
              <w:t>分，扣完为止。本项满分为</w:t>
            </w:r>
            <w:r>
              <w:rPr>
                <w:rFonts w:hint="eastAsia" w:cs="宋体"/>
                <w:kern w:val="0"/>
                <w:sz w:val="21"/>
                <w:szCs w:val="21"/>
                <w:highlight w:val="none"/>
                <w:lang w:bidi="zh-CN"/>
              </w:rPr>
              <w:t>20</w:t>
            </w:r>
            <w:r>
              <w:rPr>
                <w:rFonts w:cs="宋体"/>
                <w:kern w:val="0"/>
                <w:sz w:val="21"/>
                <w:szCs w:val="21"/>
                <w:highlight w:val="none"/>
                <w:lang w:val="zh-CN" w:bidi="zh-CN"/>
              </w:rPr>
              <w:t>分。</w:t>
            </w:r>
          </w:p>
        </w:tc>
        <w:tc>
          <w:tcPr>
            <w:tcW w:w="578"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3"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4</w:t>
            </w:r>
          </w:p>
        </w:tc>
        <w:tc>
          <w:tcPr>
            <w:tcW w:w="710" w:type="dxa"/>
            <w:tcMar>
              <w:top w:w="15" w:type="dxa"/>
              <w:left w:w="15" w:type="dxa"/>
              <w:right w:w="15" w:type="dxa"/>
            </w:tcMar>
            <w:vAlign w:val="center"/>
          </w:tcPr>
          <w:p>
            <w:pPr>
              <w:pStyle w:val="2"/>
              <w:spacing w:line="216" w:lineRule="auto"/>
              <w:jc w:val="center"/>
              <w:rPr>
                <w:kern w:val="0"/>
                <w:sz w:val="21"/>
                <w:szCs w:val="21"/>
                <w:highlight w:val="none"/>
              </w:rPr>
            </w:pPr>
            <w:r>
              <w:rPr>
                <w:rFonts w:ascii="Times New Roman" w:hAnsi="Times New Roman"/>
                <w:color w:val="000000"/>
                <w:sz w:val="21"/>
                <w:szCs w:val="21"/>
                <w:highlight w:val="none"/>
              </w:rPr>
              <w:t>安全管理措施</w:t>
            </w:r>
          </w:p>
        </w:tc>
        <w:tc>
          <w:tcPr>
            <w:tcW w:w="555" w:type="dxa"/>
            <w:tcMar>
              <w:top w:w="15" w:type="dxa"/>
              <w:left w:w="15" w:type="dxa"/>
              <w:right w:w="15" w:type="dxa"/>
            </w:tcMar>
            <w:vAlign w:val="center"/>
          </w:tcPr>
          <w:p>
            <w:pPr>
              <w:widowControl/>
              <w:spacing w:after="120" w:line="240" w:lineRule="auto"/>
              <w:rPr>
                <w:kern w:val="0"/>
                <w:sz w:val="21"/>
                <w:szCs w:val="21"/>
                <w:highlight w:val="none"/>
              </w:rPr>
            </w:pPr>
            <w:r>
              <w:rPr>
                <w:rFonts w:hint="eastAsia"/>
                <w:kern w:val="0"/>
                <w:sz w:val="21"/>
                <w:szCs w:val="21"/>
                <w:highlight w:val="none"/>
              </w:rPr>
              <w:t>20分</w:t>
            </w:r>
          </w:p>
        </w:tc>
        <w:tc>
          <w:tcPr>
            <w:tcW w:w="6378" w:type="dxa"/>
            <w:tcMar>
              <w:top w:w="15" w:type="dxa"/>
              <w:left w:w="15" w:type="dxa"/>
              <w:right w:w="15" w:type="dxa"/>
            </w:tcMar>
            <w:vAlign w:val="center"/>
          </w:tcPr>
          <w:p>
            <w:pPr>
              <w:tabs>
                <w:tab w:val="left" w:pos="0"/>
              </w:tabs>
              <w:spacing w:line="360" w:lineRule="auto"/>
              <w:rPr>
                <w:rFonts w:cs="21"/>
                <w:kern w:val="0"/>
                <w:sz w:val="21"/>
                <w:szCs w:val="21"/>
                <w:highlight w:val="none"/>
              </w:rPr>
            </w:pPr>
            <w:r>
              <w:rPr>
                <w:kern w:val="0"/>
                <w:sz w:val="21"/>
                <w:szCs w:val="21"/>
                <w:highlight w:val="none"/>
                <w:lang w:val="zh-CN"/>
              </w:rPr>
              <w:t>《安全管理体系与措施》包括但不限于以下要素：①安全管理</w:t>
            </w:r>
            <w:r>
              <w:rPr>
                <w:rFonts w:hint="eastAsia"/>
                <w:kern w:val="0"/>
                <w:sz w:val="21"/>
                <w:szCs w:val="21"/>
                <w:highlight w:val="none"/>
                <w:lang w:val="zh-CN"/>
              </w:rPr>
              <w:t>与环境管理措施</w:t>
            </w:r>
            <w:r>
              <w:rPr>
                <w:kern w:val="0"/>
                <w:sz w:val="21"/>
                <w:szCs w:val="21"/>
                <w:highlight w:val="none"/>
                <w:lang w:val="zh-CN"/>
              </w:rPr>
              <w:t>；②</w:t>
            </w:r>
            <w:r>
              <w:rPr>
                <w:rFonts w:hint="eastAsia"/>
                <w:kern w:val="0"/>
                <w:sz w:val="21"/>
                <w:szCs w:val="21"/>
                <w:highlight w:val="none"/>
                <w:lang w:val="zh-CN"/>
              </w:rPr>
              <w:t>安全管理制度</w:t>
            </w:r>
            <w:r>
              <w:rPr>
                <w:kern w:val="0"/>
                <w:sz w:val="21"/>
                <w:szCs w:val="21"/>
                <w:highlight w:val="none"/>
                <w:lang w:val="zh-CN"/>
              </w:rPr>
              <w:t>；③安全</w:t>
            </w:r>
            <w:r>
              <w:rPr>
                <w:rFonts w:hint="eastAsia"/>
                <w:kern w:val="0"/>
                <w:sz w:val="21"/>
                <w:szCs w:val="21"/>
                <w:highlight w:val="none"/>
                <w:lang w:val="zh-CN"/>
              </w:rPr>
              <w:t>作业</w:t>
            </w:r>
            <w:r>
              <w:rPr>
                <w:kern w:val="0"/>
                <w:sz w:val="21"/>
                <w:szCs w:val="21"/>
                <w:highlight w:val="none"/>
                <w:lang w:val="zh-CN"/>
              </w:rPr>
              <w:t>措施</w:t>
            </w:r>
            <w:r>
              <w:rPr>
                <w:rFonts w:hint="eastAsia"/>
                <w:kern w:val="0"/>
                <w:sz w:val="21"/>
                <w:szCs w:val="21"/>
                <w:highlight w:val="none"/>
              </w:rPr>
              <w:t>。</w:t>
            </w:r>
            <w:r>
              <w:rPr>
                <w:kern w:val="0"/>
                <w:sz w:val="21"/>
                <w:szCs w:val="21"/>
                <w:highlight w:val="none"/>
                <w:lang w:val="zh-CN"/>
              </w:rPr>
              <w:t>供应商每有一项不完整或不合理，不能满足采购需求的扣</w:t>
            </w:r>
            <w:r>
              <w:rPr>
                <w:rFonts w:hint="eastAsia"/>
                <w:kern w:val="0"/>
                <w:sz w:val="21"/>
                <w:szCs w:val="21"/>
                <w:highlight w:val="none"/>
              </w:rPr>
              <w:t>4</w:t>
            </w:r>
            <w:r>
              <w:rPr>
                <w:kern w:val="0"/>
                <w:sz w:val="21"/>
                <w:szCs w:val="21"/>
                <w:highlight w:val="none"/>
                <w:lang w:val="zh-CN"/>
              </w:rPr>
              <w:t>分，扣完为止。本项满分为</w:t>
            </w:r>
            <w:r>
              <w:rPr>
                <w:rFonts w:hint="eastAsia"/>
                <w:kern w:val="0"/>
                <w:sz w:val="21"/>
                <w:szCs w:val="21"/>
                <w:highlight w:val="none"/>
              </w:rPr>
              <w:t>20</w:t>
            </w:r>
            <w:r>
              <w:rPr>
                <w:kern w:val="0"/>
                <w:sz w:val="21"/>
                <w:szCs w:val="21"/>
                <w:highlight w:val="none"/>
                <w:lang w:val="zh-CN"/>
              </w:rPr>
              <w:t>分。</w:t>
            </w:r>
          </w:p>
        </w:tc>
        <w:tc>
          <w:tcPr>
            <w:tcW w:w="578"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3"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5</w:t>
            </w:r>
          </w:p>
        </w:tc>
        <w:tc>
          <w:tcPr>
            <w:tcW w:w="710" w:type="dxa"/>
            <w:tcMar>
              <w:top w:w="15" w:type="dxa"/>
              <w:left w:w="15" w:type="dxa"/>
              <w:right w:w="15" w:type="dxa"/>
            </w:tcMar>
            <w:vAlign w:val="center"/>
          </w:tcPr>
          <w:p>
            <w:pPr>
              <w:widowControl/>
              <w:spacing w:after="120" w:line="240" w:lineRule="auto"/>
              <w:rPr>
                <w:kern w:val="0"/>
                <w:sz w:val="21"/>
                <w:szCs w:val="21"/>
                <w:highlight w:val="none"/>
              </w:rPr>
            </w:pPr>
            <w:r>
              <w:rPr>
                <w:rFonts w:hint="eastAsia"/>
                <w:kern w:val="0"/>
                <w:sz w:val="21"/>
                <w:szCs w:val="21"/>
                <w:highlight w:val="none"/>
              </w:rPr>
              <w:t>应急处理方案</w:t>
            </w:r>
          </w:p>
        </w:tc>
        <w:tc>
          <w:tcPr>
            <w:tcW w:w="555" w:type="dxa"/>
            <w:tcMar>
              <w:top w:w="15" w:type="dxa"/>
              <w:left w:w="15" w:type="dxa"/>
              <w:right w:w="15" w:type="dxa"/>
            </w:tcMar>
            <w:vAlign w:val="center"/>
          </w:tcPr>
          <w:p>
            <w:pPr>
              <w:widowControl/>
              <w:spacing w:after="120" w:line="240" w:lineRule="auto"/>
              <w:rPr>
                <w:kern w:val="0"/>
                <w:sz w:val="21"/>
                <w:szCs w:val="21"/>
                <w:highlight w:val="none"/>
              </w:rPr>
            </w:pPr>
            <w:r>
              <w:rPr>
                <w:rFonts w:hint="eastAsia"/>
                <w:kern w:val="0"/>
                <w:sz w:val="21"/>
                <w:szCs w:val="21"/>
                <w:highlight w:val="none"/>
              </w:rPr>
              <w:t>20分</w:t>
            </w:r>
          </w:p>
        </w:tc>
        <w:tc>
          <w:tcPr>
            <w:tcW w:w="6378" w:type="dxa"/>
            <w:tcMar>
              <w:top w:w="15" w:type="dxa"/>
              <w:left w:w="15" w:type="dxa"/>
              <w:right w:w="15" w:type="dxa"/>
            </w:tcMar>
            <w:vAlign w:val="center"/>
          </w:tcPr>
          <w:p>
            <w:pPr>
              <w:widowControl/>
              <w:spacing w:after="200" w:line="240" w:lineRule="auto"/>
              <w:ind w:firstLine="210" w:firstLineChars="100"/>
              <w:rPr>
                <w:kern w:val="0"/>
                <w:sz w:val="21"/>
                <w:szCs w:val="21"/>
                <w:highlight w:val="none"/>
              </w:rPr>
            </w:pPr>
            <w:r>
              <w:rPr>
                <w:rFonts w:hint="eastAsia"/>
                <w:kern w:val="0"/>
                <w:sz w:val="21"/>
                <w:szCs w:val="21"/>
                <w:highlight w:val="none"/>
              </w:rPr>
              <w:t>根据供应商制定的应急措施（包含应急组织机构、高处坠落事故应急方案、中暑应急方案等）作为评审因素。</w:t>
            </w:r>
          </w:p>
          <w:p>
            <w:pPr>
              <w:widowControl/>
              <w:spacing w:after="200" w:line="240" w:lineRule="auto"/>
              <w:ind w:firstLine="210" w:firstLineChars="100"/>
              <w:rPr>
                <w:kern w:val="0"/>
                <w:sz w:val="21"/>
                <w:szCs w:val="21"/>
                <w:highlight w:val="none"/>
              </w:rPr>
            </w:pPr>
            <w:r>
              <w:rPr>
                <w:rFonts w:hint="eastAsia"/>
                <w:kern w:val="0"/>
                <w:sz w:val="21"/>
                <w:szCs w:val="21"/>
                <w:highlight w:val="none"/>
              </w:rPr>
              <w:t>本项目所涉及的应急措施或应急预案完整、可行，满足以上评审因素的得20分。</w:t>
            </w:r>
            <w:r>
              <w:rPr>
                <w:rFonts w:hint="eastAsia" w:cs="宋体"/>
                <w:kern w:val="0"/>
                <w:sz w:val="21"/>
                <w:szCs w:val="21"/>
                <w:highlight w:val="none"/>
                <w:lang w:val="zh-CN" w:bidi="zh-CN"/>
              </w:rPr>
              <w:t>每缺少一项内容扣</w:t>
            </w:r>
            <w:r>
              <w:rPr>
                <w:rFonts w:hint="eastAsia" w:cs="宋体"/>
                <w:kern w:val="0"/>
                <w:sz w:val="21"/>
                <w:szCs w:val="21"/>
                <w:highlight w:val="none"/>
                <w:lang w:bidi="zh-CN"/>
              </w:rPr>
              <w:t>5分，</w:t>
            </w:r>
            <w:r>
              <w:rPr>
                <w:rFonts w:hint="eastAsia" w:cs="宋体"/>
                <w:kern w:val="0"/>
                <w:sz w:val="21"/>
                <w:szCs w:val="21"/>
                <w:highlight w:val="none"/>
                <w:lang w:val="zh-CN" w:bidi="zh-CN"/>
              </w:rPr>
              <w:t>每有一项内容明显错误或内容非专门针对本项目或内容不能满足本项目实际需求的每一项扣</w:t>
            </w:r>
            <w:r>
              <w:rPr>
                <w:rFonts w:hint="eastAsia" w:cs="宋体"/>
                <w:kern w:val="0"/>
                <w:sz w:val="21"/>
                <w:szCs w:val="21"/>
                <w:highlight w:val="none"/>
                <w:lang w:bidi="zh-CN"/>
              </w:rPr>
              <w:t>1</w:t>
            </w:r>
            <w:r>
              <w:rPr>
                <w:rFonts w:hint="eastAsia" w:cs="宋体"/>
                <w:kern w:val="0"/>
                <w:sz w:val="21"/>
                <w:szCs w:val="21"/>
                <w:highlight w:val="none"/>
                <w:lang w:val="zh-CN" w:bidi="zh-CN"/>
              </w:rPr>
              <w:t>分，扣完为止。</w:t>
            </w:r>
          </w:p>
        </w:tc>
        <w:tc>
          <w:tcPr>
            <w:tcW w:w="578"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5"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6</w:t>
            </w:r>
          </w:p>
        </w:tc>
        <w:tc>
          <w:tcPr>
            <w:tcW w:w="710" w:type="dxa"/>
            <w:tcMar>
              <w:top w:w="15" w:type="dxa"/>
              <w:left w:w="15" w:type="dxa"/>
              <w:right w:w="15" w:type="dxa"/>
            </w:tcMar>
            <w:vAlign w:val="center"/>
          </w:tcPr>
          <w:p>
            <w:pPr>
              <w:widowControl/>
              <w:spacing w:after="120" w:line="240" w:lineRule="auto"/>
              <w:jc w:val="center"/>
              <w:rPr>
                <w:kern w:val="0"/>
                <w:sz w:val="21"/>
                <w:szCs w:val="21"/>
                <w:highlight w:val="none"/>
              </w:rPr>
            </w:pPr>
            <w:r>
              <w:rPr>
                <w:rFonts w:hint="eastAsia"/>
                <w:kern w:val="0"/>
                <w:sz w:val="21"/>
                <w:szCs w:val="21"/>
                <w:highlight w:val="none"/>
              </w:rPr>
              <w:t>合计</w:t>
            </w:r>
          </w:p>
        </w:tc>
        <w:tc>
          <w:tcPr>
            <w:tcW w:w="7511" w:type="dxa"/>
            <w:gridSpan w:val="3"/>
            <w:tcMar>
              <w:top w:w="15" w:type="dxa"/>
              <w:left w:w="15" w:type="dxa"/>
              <w:right w:w="15" w:type="dxa"/>
            </w:tcMar>
            <w:vAlign w:val="center"/>
          </w:tcPr>
          <w:p>
            <w:pPr>
              <w:widowControl/>
              <w:spacing w:after="200" w:line="240" w:lineRule="auto"/>
              <w:jc w:val="center"/>
              <w:rPr>
                <w:kern w:val="0"/>
                <w:sz w:val="21"/>
                <w:szCs w:val="21"/>
                <w:highlight w:val="none"/>
              </w:rPr>
            </w:pPr>
            <w:r>
              <w:rPr>
                <w:rFonts w:hint="eastAsia"/>
                <w:kern w:val="0"/>
                <w:sz w:val="21"/>
                <w:szCs w:val="21"/>
                <w:highlight w:val="none"/>
              </w:rPr>
              <w:t>100分</w:t>
            </w:r>
          </w:p>
        </w:tc>
      </w:tr>
    </w:tbl>
    <w:p>
      <w:pPr>
        <w:numPr>
          <w:ilvl w:val="0"/>
          <w:numId w:val="0"/>
        </w:numPr>
        <w:ind w:leftChars="0"/>
        <w:rPr>
          <w:rFonts w:hint="eastAsia"/>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21">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86EA8"/>
    <w:multiLevelType w:val="singleLevel"/>
    <w:tmpl w:val="D8186EA8"/>
    <w:lvl w:ilvl="0" w:tentative="0">
      <w:start w:val="1"/>
      <w:numFmt w:val="decimal"/>
      <w:suff w:val="nothing"/>
      <w:lvlText w:val="%1、"/>
      <w:lvlJc w:val="left"/>
    </w:lvl>
  </w:abstractNum>
  <w:abstractNum w:abstractNumId="1">
    <w:nsid w:val="68A684C1"/>
    <w:multiLevelType w:val="singleLevel"/>
    <w:tmpl w:val="68A684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DYwNmQ3ZmQ0OTRhZmJkZGNlMmY1NWNhMWFlOTkifQ=="/>
  </w:docVars>
  <w:rsids>
    <w:rsidRoot w:val="00EA06B2"/>
    <w:rsid w:val="001B6650"/>
    <w:rsid w:val="003A7DE3"/>
    <w:rsid w:val="004811B8"/>
    <w:rsid w:val="00EA06B2"/>
    <w:rsid w:val="1E474D3C"/>
    <w:rsid w:val="292B52BF"/>
    <w:rsid w:val="2B0274A6"/>
    <w:rsid w:val="30FD42A2"/>
    <w:rsid w:val="35363401"/>
    <w:rsid w:val="6632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tabs>
        <w:tab w:val="left" w:pos="0"/>
      </w:tabs>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ull3"/>
    <w:hidden/>
    <w:qFormat/>
    <w:uiPriority w:val="0"/>
    <w:rPr>
      <w:rFonts w:hint="eastAsia" w:ascii="Calibri" w:hAnsi="Calibri" w:eastAsia="宋体" w:cs="Times New Roman"/>
      <w:lang w:val="en-US" w:eastAsia="zh-CN" w:bidi="ar-SA"/>
    </w:rPr>
  </w:style>
  <w:style w:type="character" w:customStyle="1" w:styleId="9">
    <w:name w:val="页眉 Char"/>
    <w:basedOn w:val="7"/>
    <w:link w:val="4"/>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597</Words>
  <Characters>610</Characters>
  <Lines>3</Lines>
  <Paragraphs>1</Paragraphs>
  <TotalTime>4</TotalTime>
  <ScaleCrop>false</ScaleCrop>
  <LinksUpToDate>false</LinksUpToDate>
  <CharactersWithSpaces>611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2023-06-28T02:27:00Z</dcterms:created>
  <dc:creator>Administrator</dc:creator>
  <cp:lastModifiedBy>cgzx</cp:lastModifiedBy>
  <dcterms:modified xsi:type="dcterms:W3CDTF">2023-07-20T01:52:10Z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F052763F7ABD444694CBCD7ED45D91DC_12</vt:lpwstr>
  </property>
</Properties>
</file>