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射线装置台账</w:t>
      </w:r>
    </w:p>
    <w:tbl>
      <w:tblPr>
        <w:tblStyle w:val="6"/>
        <w:tblW w:w="9908" w:type="dxa"/>
        <w:jc w:val="center"/>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615"/>
        <w:gridCol w:w="1865"/>
        <w:gridCol w:w="973"/>
        <w:gridCol w:w="1107"/>
        <w:gridCol w:w="1025"/>
        <w:gridCol w:w="1529"/>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w:t>
            </w:r>
          </w:p>
        </w:tc>
        <w:tc>
          <w:tcPr>
            <w:tcW w:w="161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186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型号</w:t>
            </w:r>
          </w:p>
        </w:tc>
        <w:tc>
          <w:tcPr>
            <w:tcW w:w="973"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管电压</w:t>
            </w:r>
          </w:p>
        </w:tc>
        <w:tc>
          <w:tcPr>
            <w:tcW w:w="110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管电流</w:t>
            </w:r>
          </w:p>
        </w:tc>
        <w:tc>
          <w:tcPr>
            <w:tcW w:w="102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目前状况</w:t>
            </w:r>
          </w:p>
        </w:tc>
        <w:tc>
          <w:tcPr>
            <w:tcW w:w="152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使用场所</w:t>
            </w:r>
          </w:p>
        </w:tc>
        <w:tc>
          <w:tcPr>
            <w:tcW w:w="1128"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全景牙片机</w:t>
            </w:r>
          </w:p>
        </w:tc>
        <w:tc>
          <w:tcPr>
            <w:tcW w:w="186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Kodak8000C</w:t>
            </w:r>
          </w:p>
        </w:tc>
        <w:tc>
          <w:tcPr>
            <w:tcW w:w="973"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90 kV</w:t>
            </w:r>
          </w:p>
        </w:tc>
        <w:tc>
          <w:tcPr>
            <w:tcW w:w="1107"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15 mA</w:t>
            </w:r>
          </w:p>
        </w:tc>
        <w:tc>
          <w:tcPr>
            <w:tcW w:w="1025"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全景片摄影室</w:t>
            </w:r>
          </w:p>
        </w:tc>
        <w:tc>
          <w:tcPr>
            <w:tcW w:w="112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口腔X射线机</w:t>
            </w:r>
          </w:p>
        </w:tc>
        <w:tc>
          <w:tcPr>
            <w:tcW w:w="186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CS2100</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60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牙片摄影室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DSA</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AlluraCentron</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125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813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介入室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rPr>
            </w:pPr>
          </w:p>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CT机</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OptimaCT660</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140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600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CT检查室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普通X射线机</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TU-51B</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125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630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多功能X射线检查室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床旁X射线</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HF4003</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110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康复大楼一楼</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DR机</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Ysio</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150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800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DR检查室（1）</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DR机</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DigitalDiagnost</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125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850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DR检查室（2）</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乳腺机</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SeleniaASY-01427</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39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数字乳腺检查室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C型X射线机</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OEC9900Elite</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120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外科大楼7楼手术室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11</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C型X射线机</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EXPLORER3500</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125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外科大楼7楼手术室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12</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DR机</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DR2800</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150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640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体检中心DR室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13</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CT机</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Optima CT520</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140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放射科</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w:t>
            </w:r>
          </w:p>
        </w:tc>
        <w:tc>
          <w:tcPr>
            <w:tcW w:w="1615"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CT</w:t>
            </w:r>
            <w:r>
              <w:rPr>
                <w:rFonts w:hint="eastAsia" w:asciiTheme="minorEastAsia" w:hAnsiTheme="minorEastAsia" w:eastAsiaTheme="minorEastAsia" w:cstheme="minorEastAsia"/>
                <w:sz w:val="22"/>
                <w:szCs w:val="22"/>
                <w:lang w:eastAsia="zh-CN"/>
              </w:rPr>
              <w:t>机</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Optima CT520</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140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350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体检中心</w:t>
            </w:r>
            <w:r>
              <w:rPr>
                <w:rFonts w:hint="eastAsia" w:asciiTheme="minorEastAsia" w:hAnsiTheme="minorEastAsia" w:cstheme="minorEastAsia"/>
                <w:sz w:val="22"/>
                <w:szCs w:val="22"/>
                <w:lang w:val="en-US" w:eastAsia="zh-CN"/>
              </w:rPr>
              <w:t>CT</w:t>
            </w:r>
            <w:r>
              <w:rPr>
                <w:rFonts w:hint="eastAsia" w:asciiTheme="minorEastAsia" w:hAnsiTheme="minorEastAsia" w:eastAsiaTheme="minorEastAsia" w:cstheme="minorEastAsia"/>
                <w:sz w:val="22"/>
                <w:szCs w:val="22"/>
                <w:lang w:val="en-US" w:eastAsia="zh-CN"/>
              </w:rPr>
              <w:t>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15</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口腔CT</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SS-X9010DPro-3DE</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90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10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口腔CT室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16</w:t>
            </w:r>
          </w:p>
        </w:tc>
        <w:tc>
          <w:tcPr>
            <w:tcW w:w="161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骨密度仪</w:t>
            </w:r>
          </w:p>
        </w:tc>
        <w:tc>
          <w:tcPr>
            <w:tcW w:w="1865"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Prodigy Pro Compact</w:t>
            </w:r>
          </w:p>
        </w:tc>
        <w:tc>
          <w:tcPr>
            <w:tcW w:w="973"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76 kV</w:t>
            </w:r>
          </w:p>
        </w:tc>
        <w:tc>
          <w:tcPr>
            <w:tcW w:w="1107"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 mA</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放射科骨密度室</w:t>
            </w:r>
          </w:p>
        </w:tc>
        <w:tc>
          <w:tcPr>
            <w:tcW w:w="1128"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已有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666" w:type="dxa"/>
            <w:vAlign w:val="center"/>
          </w:tcPr>
          <w:p>
            <w:pPr>
              <w:jc w:val="center"/>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17</w:t>
            </w:r>
          </w:p>
        </w:tc>
        <w:tc>
          <w:tcPr>
            <w:tcW w:w="1615"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cstheme="minorEastAsia"/>
                <w:sz w:val="22"/>
                <w:szCs w:val="22"/>
                <w:lang w:eastAsia="zh-CN"/>
              </w:rPr>
              <w:t>医用直线加速器</w:t>
            </w:r>
          </w:p>
        </w:tc>
        <w:tc>
          <w:tcPr>
            <w:tcW w:w="1865" w:type="dxa"/>
            <w:vAlign w:val="center"/>
          </w:tcPr>
          <w:p>
            <w:pPr>
              <w:jc w:val="center"/>
              <w:rPr>
                <w:rFonts w:hint="default" w:asciiTheme="minorEastAsia" w:hAnsiTheme="minorEastAsia" w:eastAsiaTheme="minorEastAsia" w:cstheme="minorEastAsia"/>
                <w:sz w:val="22"/>
                <w:szCs w:val="22"/>
                <w:lang w:val="en-US" w:eastAsia="zh-CN"/>
              </w:rPr>
            </w:pPr>
            <w:r>
              <w:rPr>
                <w:rFonts w:hint="eastAsia" w:asciiTheme="minorEastAsia" w:hAnsiTheme="minorEastAsia" w:cstheme="minorEastAsia"/>
                <w:sz w:val="22"/>
                <w:szCs w:val="22"/>
                <w:lang w:val="en-US" w:eastAsia="zh-CN"/>
              </w:rPr>
              <w:t>Elekda Synergy</w:t>
            </w:r>
          </w:p>
        </w:tc>
        <w:tc>
          <w:tcPr>
            <w:tcW w:w="2080" w:type="dxa"/>
            <w:gridSpan w:val="2"/>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cstheme="minorEastAsia"/>
                <w:sz w:val="22"/>
                <w:szCs w:val="22"/>
                <w:lang w:val="en-US" w:eastAsia="zh-CN"/>
              </w:rPr>
              <w:t>10MeV</w:t>
            </w:r>
          </w:p>
        </w:tc>
        <w:tc>
          <w:tcPr>
            <w:tcW w:w="1025"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使用</w:t>
            </w:r>
          </w:p>
        </w:tc>
        <w:tc>
          <w:tcPr>
            <w:tcW w:w="1529" w:type="dxa"/>
            <w:vAlign w:val="center"/>
          </w:tcPr>
          <w:p>
            <w:pPr>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直线加速器治疗室</w:t>
            </w:r>
          </w:p>
        </w:tc>
        <w:tc>
          <w:tcPr>
            <w:tcW w:w="1128" w:type="dxa"/>
            <w:vAlign w:val="center"/>
          </w:tcPr>
          <w:p>
            <w:pPr>
              <w:jc w:val="center"/>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新增</w:t>
            </w:r>
          </w:p>
        </w:tc>
      </w:tr>
    </w:tbl>
    <w:p>
      <w:pPr>
        <w:ind w:firstLine="10080" w:firstLineChars="3600"/>
      </w:pPr>
      <w:r>
        <w:rPr>
          <w:rFonts w:ascii="仿宋_GB2312" w:eastAsia="仿宋_GB2312"/>
          <w:sz w:val="28"/>
          <w:szCs w:val="24"/>
        </w:rPr>
        <w:t xml:space="preserve"> </w:t>
      </w:r>
    </w:p>
    <w:p/>
    <w:p>
      <w:pPr>
        <w:jc w:val="both"/>
        <w:rPr>
          <w:rFonts w:hint="eastAsia" w:ascii="宋体" w:hAnsi="宋体" w:eastAsia="宋体" w:cs="宋体"/>
          <w:b/>
          <w:bCs/>
          <w:sz w:val="30"/>
          <w:szCs w:val="30"/>
        </w:rPr>
      </w:pPr>
    </w:p>
    <w:p>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放射设备年度检测、辐射场所环境检测及个人剂量监测服务内容</w:t>
      </w: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lang w:val="en-US" w:eastAsia="zh-CN"/>
        </w:rPr>
      </w:pPr>
      <w:r>
        <w:rPr>
          <w:rFonts w:hint="eastAsia"/>
          <w:sz w:val="28"/>
          <w:szCs w:val="28"/>
          <w:lang w:val="en-US" w:eastAsia="zh-CN"/>
        </w:rPr>
        <w:t>1、个人剂量监测数量：普通工作人员约70人，介入工作人员约30人。双剂量人员按照单剂量人员收费；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Calibri" w:hAnsi="Calibri" w:eastAsia="宋体" w:cs="Times New Roman"/>
          <w:kern w:val="2"/>
          <w:sz w:val="28"/>
          <w:szCs w:val="28"/>
          <w:lang w:val="en-US" w:eastAsia="zh-CN" w:bidi="ar-SA"/>
        </w:rPr>
      </w:pPr>
      <w:r>
        <w:rPr>
          <w:rFonts w:hint="eastAsia"/>
          <w:sz w:val="28"/>
          <w:szCs w:val="28"/>
          <w:lang w:val="en-US" w:eastAsia="zh-CN"/>
        </w:rPr>
        <w:t>2、</w:t>
      </w:r>
      <w:r>
        <w:rPr>
          <w:rFonts w:hint="eastAsia" w:ascii="Calibri" w:hAnsi="Calibri" w:eastAsia="宋体" w:cs="Times New Roman"/>
          <w:kern w:val="2"/>
          <w:sz w:val="28"/>
          <w:szCs w:val="28"/>
          <w:lang w:val="en-US" w:eastAsia="zh-CN" w:bidi="ar-SA"/>
        </w:rPr>
        <w:t>项目预算：放射设备年度检测、辐射场所环境检测预计16300元（直线加速器3500元/台</w:t>
      </w:r>
      <w:r>
        <w:rPr>
          <w:rFonts w:hint="eastAsia" w:cs="Times New Roman"/>
          <w:kern w:val="2"/>
          <w:sz w:val="28"/>
          <w:szCs w:val="28"/>
          <w:lang w:val="en-US" w:eastAsia="zh-CN" w:bidi="ar-SA"/>
        </w:rPr>
        <w:t>，</w:t>
      </w:r>
      <w:r>
        <w:rPr>
          <w:rFonts w:hint="eastAsia" w:ascii="Calibri" w:hAnsi="Calibri" w:eastAsia="宋体" w:cs="Times New Roman"/>
          <w:kern w:val="2"/>
          <w:sz w:val="28"/>
          <w:szCs w:val="28"/>
          <w:lang w:val="en-US" w:eastAsia="zh-CN" w:bidi="ar-SA"/>
        </w:rPr>
        <w:t>其余设备8</w:t>
      </w:r>
      <w:bookmarkStart w:id="0" w:name="_GoBack"/>
      <w:bookmarkEnd w:id="0"/>
      <w:r>
        <w:rPr>
          <w:rFonts w:hint="eastAsia" w:ascii="Calibri" w:hAnsi="Calibri" w:eastAsia="宋体" w:cs="Times New Roman"/>
          <w:kern w:val="2"/>
          <w:sz w:val="28"/>
          <w:szCs w:val="28"/>
          <w:lang w:val="en-US" w:eastAsia="zh-CN" w:bidi="ar-SA"/>
        </w:rPr>
        <w:t>00元/台）；个人剂量监测88.00元/人/年，人数以实际检测为准，约9000元左右。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alibri" w:hAnsi="Calibri" w:eastAsia="宋体"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3、中标单位需协助院方办理放射许可和辐射安全许可的增项及年审事务。</w:t>
      </w:r>
    </w:p>
    <w:p>
      <w:pPr>
        <w:pStyle w:val="2"/>
        <w:rPr>
          <w:rFonts w:hint="eastAsia" w:ascii="宋体" w:hAnsi="宋体" w:cs="宋体"/>
          <w:sz w:val="28"/>
          <w:szCs w:val="28"/>
          <w:lang w:eastAsia="zh-CN"/>
        </w:rPr>
      </w:pPr>
    </w:p>
    <w:p>
      <w:pPr>
        <w:spacing w:line="360" w:lineRule="auto"/>
        <w:jc w:val="center"/>
        <w:rPr>
          <w:sz w:val="32"/>
          <w:szCs w:val="32"/>
        </w:rPr>
      </w:pPr>
      <w:r>
        <w:rPr>
          <w:rFonts w:hint="eastAsia"/>
          <w:sz w:val="32"/>
          <w:szCs w:val="32"/>
          <w:lang w:eastAsia="zh-CN"/>
        </w:rPr>
        <w:t>综合</w:t>
      </w:r>
      <w:r>
        <w:rPr>
          <w:sz w:val="32"/>
          <w:szCs w:val="32"/>
        </w:rPr>
        <w:t>评审细则</w:t>
      </w:r>
    </w:p>
    <w:tbl>
      <w:tblPr>
        <w:tblStyle w:val="5"/>
        <w:tblW w:w="10116" w:type="dxa"/>
        <w:jc w:val="center"/>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282"/>
        <w:gridCol w:w="1281"/>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579" w:type="dxa"/>
            <w:vAlign w:val="center"/>
          </w:tcPr>
          <w:p>
            <w:pPr>
              <w:spacing w:line="276" w:lineRule="auto"/>
              <w:jc w:val="center"/>
              <w:rPr>
                <w:rFonts w:ascii="宋体" w:hAnsi="宋体" w:cs="宋体"/>
                <w:sz w:val="24"/>
                <w:szCs w:val="24"/>
              </w:rPr>
            </w:pPr>
            <w:r>
              <w:rPr>
                <w:rFonts w:hint="eastAsia" w:ascii="宋体" w:hAnsi="宋体" w:cs="宋体"/>
                <w:sz w:val="24"/>
                <w:szCs w:val="24"/>
              </w:rPr>
              <w:t>序号</w:t>
            </w:r>
          </w:p>
        </w:tc>
        <w:tc>
          <w:tcPr>
            <w:tcW w:w="1282" w:type="dxa"/>
            <w:vAlign w:val="center"/>
          </w:tcPr>
          <w:p>
            <w:pPr>
              <w:spacing w:line="276" w:lineRule="auto"/>
              <w:jc w:val="center"/>
              <w:rPr>
                <w:rFonts w:ascii="宋体" w:hAnsi="宋体" w:cs="宋体"/>
                <w:sz w:val="24"/>
                <w:szCs w:val="24"/>
              </w:rPr>
            </w:pPr>
            <w:r>
              <w:rPr>
                <w:rFonts w:hint="eastAsia" w:ascii="宋体" w:hAnsi="宋体" w:cs="宋体"/>
                <w:sz w:val="24"/>
                <w:szCs w:val="24"/>
              </w:rPr>
              <w:t>评分因素</w:t>
            </w:r>
          </w:p>
          <w:p>
            <w:pPr>
              <w:spacing w:line="276" w:lineRule="auto"/>
              <w:jc w:val="center"/>
              <w:rPr>
                <w:rFonts w:ascii="宋体" w:hAnsi="宋体" w:cs="宋体"/>
                <w:sz w:val="24"/>
                <w:szCs w:val="24"/>
              </w:rPr>
            </w:pPr>
            <w:r>
              <w:rPr>
                <w:rFonts w:hint="eastAsia" w:ascii="宋体" w:hAnsi="宋体" w:cs="宋体"/>
                <w:sz w:val="24"/>
                <w:szCs w:val="24"/>
              </w:rPr>
              <w:t>及权重</w:t>
            </w:r>
          </w:p>
        </w:tc>
        <w:tc>
          <w:tcPr>
            <w:tcW w:w="1281" w:type="dxa"/>
            <w:vAlign w:val="center"/>
          </w:tcPr>
          <w:p>
            <w:pPr>
              <w:spacing w:line="360" w:lineRule="auto"/>
              <w:jc w:val="center"/>
              <w:rPr>
                <w:rFonts w:ascii="宋体" w:hAnsi="宋体" w:cs="宋体"/>
                <w:sz w:val="24"/>
                <w:szCs w:val="24"/>
              </w:rPr>
            </w:pPr>
            <w:r>
              <w:rPr>
                <w:rFonts w:hint="default" w:eastAsiaTheme="minorEastAsia"/>
                <w:sz w:val="24"/>
                <w:szCs w:val="24"/>
                <w:lang w:val="en-US" w:eastAsia="zh-CN"/>
              </w:rPr>
              <w:t>评审因素单项分值</w:t>
            </w:r>
          </w:p>
        </w:tc>
        <w:tc>
          <w:tcPr>
            <w:tcW w:w="6974" w:type="dxa"/>
            <w:vAlign w:val="center"/>
          </w:tcPr>
          <w:p>
            <w:pPr>
              <w:spacing w:line="360" w:lineRule="auto"/>
              <w:jc w:val="center"/>
              <w:rPr>
                <w:rFonts w:hint="default" w:eastAsiaTheme="minorEastAsia"/>
                <w:sz w:val="24"/>
                <w:szCs w:val="24"/>
                <w:lang w:val="en-US" w:eastAsia="zh-CN"/>
              </w:rPr>
            </w:pPr>
            <w:r>
              <w:rPr>
                <w:rFonts w:hint="default" w:eastAsiaTheme="minorEastAsia"/>
                <w:sz w:val="24"/>
                <w:szCs w:val="24"/>
                <w:lang w:val="en-US" w:eastAsia="zh-CN"/>
              </w:rPr>
              <w:t>评审因素的评分标准及分值</w:t>
            </w:r>
          </w:p>
          <w:p>
            <w:pPr>
              <w:spacing w:line="360" w:lineRule="auto"/>
              <w:jc w:val="center"/>
              <w:rPr>
                <w:rFonts w:ascii="宋体" w:hAnsi="宋体" w:cs="宋体"/>
                <w:sz w:val="24"/>
                <w:szCs w:val="24"/>
              </w:rPr>
            </w:pPr>
            <w:r>
              <w:rPr>
                <w:rFonts w:hint="eastAsia"/>
                <w:sz w:val="24"/>
                <w:szCs w:val="24"/>
                <w:lang w:val="en-US" w:eastAsia="zh-CN"/>
              </w:rPr>
              <w:t>（</w:t>
            </w:r>
            <w:r>
              <w:rPr>
                <w:rFonts w:hint="default" w:eastAsiaTheme="minorEastAsia"/>
                <w:sz w:val="24"/>
                <w:szCs w:val="24"/>
                <w:lang w:val="en-US" w:eastAsia="zh-CN"/>
              </w:rPr>
              <w:t>各项评审因素的分值=评审因素X权重</w:t>
            </w: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79" w:type="dxa"/>
            <w:vAlign w:val="center"/>
          </w:tcPr>
          <w:p>
            <w:pPr>
              <w:spacing w:line="276" w:lineRule="auto"/>
              <w:jc w:val="center"/>
              <w:rPr>
                <w:rFonts w:ascii="宋体" w:hAnsi="宋体" w:cs="宋体"/>
                <w:sz w:val="24"/>
                <w:szCs w:val="24"/>
              </w:rPr>
            </w:pPr>
            <w:r>
              <w:rPr>
                <w:rFonts w:hint="eastAsia" w:ascii="宋体" w:hAnsi="宋体" w:cs="宋体"/>
                <w:sz w:val="24"/>
                <w:szCs w:val="24"/>
              </w:rPr>
              <w:t>1</w:t>
            </w:r>
          </w:p>
        </w:tc>
        <w:tc>
          <w:tcPr>
            <w:tcW w:w="1282" w:type="dxa"/>
            <w:vAlign w:val="center"/>
          </w:tcPr>
          <w:p>
            <w:pPr>
              <w:spacing w:line="276" w:lineRule="auto"/>
              <w:jc w:val="both"/>
              <w:rPr>
                <w:rFonts w:ascii="宋体" w:hAnsi="宋体" w:cs="宋体"/>
                <w:sz w:val="24"/>
                <w:szCs w:val="24"/>
              </w:rPr>
            </w:pPr>
            <w:r>
              <w:rPr>
                <w:rFonts w:hint="eastAsia" w:ascii="宋体" w:hAnsi="宋体" w:cs="宋体"/>
                <w:sz w:val="24"/>
                <w:szCs w:val="24"/>
              </w:rPr>
              <w:t xml:space="preserve">报价 </w:t>
            </w:r>
            <w:r>
              <w:rPr>
                <w:rFonts w:ascii="宋体" w:hAnsi="宋体" w:cs="宋体"/>
                <w:sz w:val="24"/>
                <w:szCs w:val="24"/>
              </w:rPr>
              <w:t>3</w:t>
            </w:r>
            <w:r>
              <w:rPr>
                <w:rFonts w:hint="eastAsia" w:ascii="宋体" w:hAnsi="宋体" w:cs="宋体"/>
                <w:sz w:val="24"/>
                <w:szCs w:val="24"/>
              </w:rPr>
              <w:t>0%</w:t>
            </w:r>
          </w:p>
        </w:tc>
        <w:tc>
          <w:tcPr>
            <w:tcW w:w="1281" w:type="dxa"/>
            <w:vAlign w:val="center"/>
          </w:tcPr>
          <w:p>
            <w:pPr>
              <w:spacing w:line="276" w:lineRule="auto"/>
              <w:jc w:val="center"/>
              <w:rPr>
                <w:rFonts w:ascii="宋体" w:hAnsi="宋体" w:cs="宋体"/>
                <w:sz w:val="24"/>
                <w:szCs w:val="24"/>
              </w:rPr>
            </w:pPr>
            <w:r>
              <w:rPr>
                <w:rFonts w:ascii="宋体" w:hAnsi="宋体" w:cs="宋体"/>
                <w:sz w:val="24"/>
                <w:szCs w:val="24"/>
              </w:rPr>
              <w:t>3</w:t>
            </w:r>
            <w:r>
              <w:rPr>
                <w:rFonts w:hint="eastAsia" w:ascii="宋体" w:hAnsi="宋体" w:cs="宋体"/>
                <w:sz w:val="24"/>
                <w:szCs w:val="24"/>
              </w:rPr>
              <w:t>0分</w:t>
            </w:r>
          </w:p>
        </w:tc>
        <w:tc>
          <w:tcPr>
            <w:tcW w:w="6974" w:type="dxa"/>
            <w:vAlign w:val="center"/>
          </w:tcPr>
          <w:p>
            <w:pPr>
              <w:spacing w:line="360" w:lineRule="auto"/>
              <w:rPr>
                <w:rFonts w:ascii="宋体" w:hAnsi="宋体" w:cs="宋体"/>
                <w:sz w:val="24"/>
                <w:szCs w:val="24"/>
              </w:rPr>
            </w:pPr>
            <w:r>
              <w:rPr>
                <w:rFonts w:hint="default" w:eastAsiaTheme="minorEastAsia"/>
                <w:sz w:val="24"/>
                <w:szCs w:val="24"/>
                <w:lang w:val="en-US" w:eastAsia="zh-CN"/>
              </w:rPr>
              <w:t>满足比选文件要求且最后报价最低的供应商的价格为比选基准价，其价格分为满分。其他供应商的价格分统一按照下列公式计算</w:t>
            </w:r>
            <w:r>
              <w:rPr>
                <w:rFonts w:hint="eastAsia"/>
                <w:sz w:val="24"/>
                <w:szCs w:val="24"/>
                <w:lang w:val="en-US" w:eastAsia="zh-CN"/>
              </w:rPr>
              <w:t>：</w:t>
            </w:r>
            <w:r>
              <w:rPr>
                <w:rFonts w:hint="default" w:eastAsiaTheme="minorEastAsia"/>
                <w:sz w:val="24"/>
                <w:szCs w:val="24"/>
                <w:lang w:val="en-US" w:eastAsia="zh-CN"/>
              </w:rPr>
              <w:t>比选报价得分=</w:t>
            </w:r>
            <w:r>
              <w:rPr>
                <w:rFonts w:hint="eastAsia"/>
                <w:sz w:val="24"/>
                <w:szCs w:val="24"/>
                <w:lang w:val="en-US" w:eastAsia="zh-CN"/>
              </w:rPr>
              <w:t>（</w:t>
            </w:r>
            <w:r>
              <w:rPr>
                <w:rFonts w:hint="default" w:eastAsiaTheme="minorEastAsia"/>
                <w:sz w:val="24"/>
                <w:szCs w:val="24"/>
                <w:lang w:val="en-US" w:eastAsia="zh-CN"/>
              </w:rPr>
              <w:t>比选基准价/最后比选报价</w:t>
            </w:r>
            <w:r>
              <w:rPr>
                <w:rFonts w:hint="eastAsia"/>
                <w:sz w:val="24"/>
                <w:szCs w:val="24"/>
                <w:lang w:val="en-US" w:eastAsia="zh-CN"/>
              </w:rPr>
              <w:t>）</w:t>
            </w:r>
            <w:r>
              <w:rPr>
                <w:rFonts w:hint="default" w:eastAsiaTheme="minorEastAsia"/>
                <w:sz w:val="24"/>
                <w:szCs w:val="24"/>
                <w:lang w:val="en-US" w:eastAsia="zh-CN"/>
              </w:rPr>
              <w:t>X30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9" w:type="dxa"/>
            <w:vAlign w:val="center"/>
          </w:tcPr>
          <w:p>
            <w:pPr>
              <w:spacing w:line="276" w:lineRule="auto"/>
              <w:jc w:val="center"/>
              <w:rPr>
                <w:rFonts w:hint="eastAsia" w:ascii="宋体" w:hAnsi="宋体" w:cs="宋体" w:eastAsiaTheme="minorEastAsia"/>
                <w:sz w:val="24"/>
                <w:szCs w:val="24"/>
                <w:lang w:val="en-US" w:eastAsia="zh-CN"/>
              </w:rPr>
            </w:pPr>
            <w:r>
              <w:rPr>
                <w:rFonts w:hint="eastAsia" w:ascii="宋体" w:hAnsi="宋体" w:cs="宋体"/>
                <w:sz w:val="24"/>
                <w:szCs w:val="24"/>
                <w:lang w:val="en-US" w:eastAsia="zh-CN"/>
              </w:rPr>
              <w:t>2</w:t>
            </w:r>
          </w:p>
        </w:tc>
        <w:tc>
          <w:tcPr>
            <w:tcW w:w="1282" w:type="dxa"/>
            <w:vAlign w:val="center"/>
          </w:tcPr>
          <w:p>
            <w:pPr>
              <w:spacing w:line="360" w:lineRule="auto"/>
              <w:rPr>
                <w:rFonts w:hint="eastAsia" w:ascii="宋体" w:hAnsi="宋体" w:cs="宋体"/>
                <w:sz w:val="24"/>
                <w:szCs w:val="24"/>
              </w:rPr>
            </w:pPr>
            <w:r>
              <w:rPr>
                <w:rFonts w:hint="default" w:eastAsiaTheme="minorEastAsia"/>
                <w:sz w:val="24"/>
                <w:szCs w:val="24"/>
                <w:lang w:val="en-US" w:eastAsia="zh-CN"/>
              </w:rPr>
              <w:t>商务响应10%</w:t>
            </w:r>
          </w:p>
        </w:tc>
        <w:tc>
          <w:tcPr>
            <w:tcW w:w="1281" w:type="dxa"/>
            <w:vAlign w:val="center"/>
          </w:tcPr>
          <w:p>
            <w:pPr>
              <w:spacing w:line="276" w:lineRule="auto"/>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10分</w:t>
            </w:r>
          </w:p>
        </w:tc>
        <w:tc>
          <w:tcPr>
            <w:tcW w:w="6974" w:type="dxa"/>
            <w:vAlign w:val="center"/>
          </w:tcPr>
          <w:p>
            <w:pPr>
              <w:spacing w:line="360" w:lineRule="auto"/>
              <w:rPr>
                <w:rFonts w:hint="default" w:eastAsiaTheme="minorEastAsia"/>
                <w:sz w:val="24"/>
                <w:szCs w:val="24"/>
                <w:lang w:val="en-US" w:eastAsia="zh-CN"/>
              </w:rPr>
            </w:pPr>
            <w:r>
              <w:rPr>
                <w:rFonts w:hint="default" w:eastAsiaTheme="minorEastAsia"/>
                <w:sz w:val="24"/>
                <w:szCs w:val="24"/>
                <w:lang w:val="en-US" w:eastAsia="zh-CN"/>
              </w:rPr>
              <w:t>完全符合比选文件商务要求没有负偏离得10分</w:t>
            </w:r>
            <w:r>
              <w:rPr>
                <w:rFonts w:hint="eastAsia"/>
                <w:sz w:val="24"/>
                <w:szCs w:val="24"/>
                <w:lang w:val="en-US" w:eastAsia="zh-CN"/>
              </w:rPr>
              <w:t>；</w:t>
            </w:r>
            <w:r>
              <w:rPr>
                <w:rFonts w:hint="default" w:eastAsiaTheme="minorEastAsia"/>
                <w:sz w:val="24"/>
                <w:szCs w:val="24"/>
                <w:lang w:val="en-US" w:eastAsia="zh-CN"/>
              </w:rPr>
              <w:t>低于比选文件要求的</w:t>
            </w:r>
            <w:r>
              <w:rPr>
                <w:rFonts w:hint="eastAsia"/>
                <w:sz w:val="24"/>
                <w:szCs w:val="24"/>
                <w:lang w:val="en-US" w:eastAsia="zh-CN"/>
              </w:rPr>
              <w:t>（</w:t>
            </w:r>
            <w:r>
              <w:rPr>
                <w:rFonts w:hint="default" w:eastAsiaTheme="minorEastAsia"/>
                <w:sz w:val="24"/>
                <w:szCs w:val="24"/>
                <w:lang w:val="en-US" w:eastAsia="zh-CN"/>
              </w:rPr>
              <w:t>负偏离</w:t>
            </w:r>
            <w:r>
              <w:rPr>
                <w:rFonts w:hint="eastAsia"/>
                <w:sz w:val="24"/>
                <w:szCs w:val="24"/>
                <w:lang w:val="en-US" w:eastAsia="zh-CN"/>
              </w:rPr>
              <w:t>），</w:t>
            </w:r>
            <w:r>
              <w:rPr>
                <w:rFonts w:hint="default" w:eastAsiaTheme="minorEastAsia"/>
                <w:sz w:val="24"/>
                <w:szCs w:val="24"/>
                <w:lang w:val="en-US" w:eastAsia="zh-CN"/>
              </w:rPr>
              <w:t>不得分</w:t>
            </w: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9" w:type="dxa"/>
            <w:vAlign w:val="center"/>
          </w:tcPr>
          <w:p>
            <w:pPr>
              <w:spacing w:line="276"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3</w:t>
            </w:r>
          </w:p>
        </w:tc>
        <w:tc>
          <w:tcPr>
            <w:tcW w:w="1282" w:type="dxa"/>
            <w:vAlign w:val="center"/>
          </w:tcPr>
          <w:p>
            <w:pPr>
              <w:spacing w:line="360" w:lineRule="auto"/>
              <w:rPr>
                <w:rFonts w:hint="default" w:ascii="宋体" w:hAnsi="宋体" w:cs="宋体"/>
                <w:sz w:val="24"/>
                <w:szCs w:val="24"/>
                <w:lang w:val="en-US"/>
              </w:rPr>
            </w:pPr>
            <w:r>
              <w:rPr>
                <w:rFonts w:hint="default" w:eastAsiaTheme="minorEastAsia"/>
                <w:sz w:val="24"/>
                <w:szCs w:val="24"/>
                <w:lang w:val="en-US" w:eastAsia="zh-CN"/>
              </w:rPr>
              <w:t>履约能力25%</w:t>
            </w:r>
          </w:p>
        </w:tc>
        <w:tc>
          <w:tcPr>
            <w:tcW w:w="1281" w:type="dxa"/>
            <w:vAlign w:val="center"/>
          </w:tcPr>
          <w:p>
            <w:pPr>
              <w:spacing w:line="276" w:lineRule="auto"/>
              <w:jc w:val="center"/>
              <w:rPr>
                <w:rFonts w:hint="eastAsia" w:ascii="宋体" w:hAnsi="宋体" w:cs="宋体"/>
                <w:sz w:val="24"/>
                <w:szCs w:val="24"/>
                <w:lang w:val="en-US" w:eastAsia="zh-CN"/>
              </w:rPr>
            </w:pPr>
            <w:r>
              <w:rPr>
                <w:rFonts w:hint="eastAsia"/>
                <w:sz w:val="24"/>
                <w:szCs w:val="24"/>
                <w:lang w:val="en-US" w:eastAsia="zh-CN"/>
              </w:rPr>
              <w:t>25分</w:t>
            </w:r>
          </w:p>
        </w:tc>
        <w:tc>
          <w:tcPr>
            <w:tcW w:w="6974" w:type="dxa"/>
            <w:vAlign w:val="center"/>
          </w:tcPr>
          <w:p>
            <w:pPr>
              <w:numPr>
                <w:ilvl w:val="0"/>
                <w:numId w:val="1"/>
              </w:numPr>
              <w:spacing w:line="360" w:lineRule="auto"/>
              <w:rPr>
                <w:rFonts w:hint="default" w:eastAsiaTheme="minorEastAsia"/>
                <w:sz w:val="24"/>
                <w:szCs w:val="24"/>
                <w:lang w:val="en-US" w:eastAsia="zh-CN"/>
              </w:rPr>
            </w:pPr>
            <w:r>
              <w:rPr>
                <w:rFonts w:hint="default" w:eastAsiaTheme="minorEastAsia"/>
                <w:sz w:val="24"/>
                <w:szCs w:val="24"/>
                <w:lang w:val="en-US" w:eastAsia="zh-CN"/>
              </w:rPr>
              <w:t>对供应商2020年以来具有类似项目履约经验的</w:t>
            </w:r>
            <w:r>
              <w:rPr>
                <w:rFonts w:hint="eastAsia"/>
                <w:sz w:val="24"/>
                <w:szCs w:val="24"/>
                <w:lang w:val="en-US" w:eastAsia="zh-CN"/>
              </w:rPr>
              <w:t>：</w:t>
            </w:r>
            <w:r>
              <w:rPr>
                <w:rFonts w:hint="default" w:eastAsiaTheme="minorEastAsia"/>
                <w:sz w:val="24"/>
                <w:szCs w:val="24"/>
                <w:lang w:val="en-US" w:eastAsia="zh-CN"/>
              </w:rPr>
              <w:t>每具有1个得3分，最多得15分。</w:t>
            </w:r>
          </w:p>
          <w:p>
            <w:pPr>
              <w:numPr>
                <w:ilvl w:val="0"/>
                <w:numId w:val="0"/>
              </w:numPr>
              <w:spacing w:line="360" w:lineRule="auto"/>
              <w:rPr>
                <w:rFonts w:hint="default" w:eastAsiaTheme="minorEastAsia"/>
                <w:sz w:val="24"/>
                <w:szCs w:val="24"/>
                <w:lang w:val="en-US" w:eastAsia="zh-CN"/>
              </w:rPr>
            </w:pPr>
            <w:r>
              <w:rPr>
                <w:rFonts w:hint="default" w:eastAsiaTheme="minorEastAsia"/>
                <w:sz w:val="24"/>
                <w:szCs w:val="24"/>
                <w:lang w:val="en-US" w:eastAsia="zh-CN"/>
              </w:rPr>
              <w:t>注</w:t>
            </w:r>
            <w:r>
              <w:rPr>
                <w:rFonts w:hint="eastAsia"/>
                <w:sz w:val="24"/>
                <w:szCs w:val="24"/>
                <w:lang w:val="en-US" w:eastAsia="zh-CN"/>
              </w:rPr>
              <w:t>：</w:t>
            </w:r>
            <w:r>
              <w:rPr>
                <w:rFonts w:hint="default" w:eastAsiaTheme="minorEastAsia"/>
                <w:sz w:val="24"/>
                <w:szCs w:val="24"/>
                <w:lang w:val="en-US" w:eastAsia="zh-CN"/>
              </w:rPr>
              <w:t>提供合同复印件或者中标</w:t>
            </w:r>
            <w:r>
              <w:rPr>
                <w:rFonts w:hint="eastAsia"/>
                <w:sz w:val="24"/>
                <w:szCs w:val="24"/>
                <w:lang w:val="en-US" w:eastAsia="zh-CN"/>
              </w:rPr>
              <w:t>（成交）</w:t>
            </w:r>
            <w:r>
              <w:rPr>
                <w:rFonts w:hint="default" w:eastAsiaTheme="minorEastAsia"/>
                <w:sz w:val="24"/>
                <w:szCs w:val="24"/>
                <w:lang w:val="en-US" w:eastAsia="zh-CN"/>
              </w:rPr>
              <w:t>通知书复印件加盖公章。</w:t>
            </w:r>
          </w:p>
          <w:p>
            <w:pPr>
              <w:spacing w:line="360" w:lineRule="auto"/>
              <w:rPr>
                <w:rFonts w:hint="default" w:eastAsiaTheme="minorEastAsia"/>
                <w:sz w:val="24"/>
                <w:szCs w:val="24"/>
                <w:lang w:val="en-US" w:eastAsia="zh-CN"/>
              </w:rPr>
            </w:pPr>
            <w:r>
              <w:rPr>
                <w:rFonts w:hint="default" w:eastAsiaTheme="minorEastAsia"/>
                <w:sz w:val="24"/>
                <w:szCs w:val="24"/>
                <w:lang w:val="en-US" w:eastAsia="zh-CN"/>
              </w:rPr>
              <w:t>2、2022年放射诊疗建设项目放射防护评价报告质量评估结果</w:t>
            </w:r>
            <w:r>
              <w:rPr>
                <w:rFonts w:hint="eastAsia"/>
                <w:sz w:val="24"/>
                <w:szCs w:val="24"/>
                <w:lang w:val="en-US" w:eastAsia="zh-CN"/>
              </w:rPr>
              <w:t>：</w:t>
            </w:r>
            <w:r>
              <w:rPr>
                <w:rFonts w:hint="default" w:eastAsiaTheme="minorEastAsia"/>
                <w:sz w:val="24"/>
                <w:szCs w:val="24"/>
                <w:lang w:val="en-US" w:eastAsia="zh-CN"/>
              </w:rPr>
              <w:t>优秀得10分，合格得5分</w:t>
            </w: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9" w:type="dxa"/>
            <w:vAlign w:val="center"/>
          </w:tcPr>
          <w:p>
            <w:pPr>
              <w:spacing w:line="276" w:lineRule="auto"/>
              <w:jc w:val="center"/>
              <w:rPr>
                <w:rFonts w:hint="eastAsia" w:ascii="宋体" w:hAnsi="宋体" w:cs="宋体" w:eastAsiaTheme="minorEastAsia"/>
                <w:sz w:val="24"/>
                <w:szCs w:val="24"/>
                <w:lang w:eastAsia="zh-CN"/>
              </w:rPr>
            </w:pPr>
            <w:r>
              <w:rPr>
                <w:rFonts w:hint="eastAsia" w:ascii="宋体" w:hAnsi="宋体" w:cs="宋体"/>
                <w:sz w:val="24"/>
                <w:szCs w:val="24"/>
                <w:lang w:val="en-US" w:eastAsia="zh-CN"/>
              </w:rPr>
              <w:t>4</w:t>
            </w:r>
          </w:p>
        </w:tc>
        <w:tc>
          <w:tcPr>
            <w:tcW w:w="1282" w:type="dxa"/>
            <w:vAlign w:val="center"/>
          </w:tcPr>
          <w:p>
            <w:pPr>
              <w:spacing w:line="276" w:lineRule="auto"/>
              <w:jc w:val="center"/>
              <w:rPr>
                <w:rFonts w:ascii="宋体" w:hAnsi="宋体" w:cs="宋体"/>
                <w:sz w:val="24"/>
                <w:szCs w:val="24"/>
              </w:rPr>
            </w:pPr>
            <w:r>
              <w:rPr>
                <w:rFonts w:hint="eastAsia" w:ascii="宋体" w:hAnsi="宋体" w:cs="宋体"/>
                <w:sz w:val="24"/>
                <w:szCs w:val="24"/>
              </w:rPr>
              <w:t>服务方案</w:t>
            </w:r>
            <w:r>
              <w:rPr>
                <w:rFonts w:hint="eastAsia" w:ascii="宋体" w:hAnsi="宋体" w:cs="宋体"/>
                <w:sz w:val="24"/>
                <w:szCs w:val="24"/>
                <w:lang w:val="en-US" w:eastAsia="zh-CN"/>
              </w:rPr>
              <w:t>20</w:t>
            </w:r>
            <w:r>
              <w:rPr>
                <w:rFonts w:hint="eastAsia" w:ascii="宋体" w:hAnsi="宋体" w:cs="宋体"/>
                <w:sz w:val="24"/>
                <w:szCs w:val="24"/>
              </w:rPr>
              <w:t>%</w:t>
            </w:r>
          </w:p>
        </w:tc>
        <w:tc>
          <w:tcPr>
            <w:tcW w:w="1281" w:type="dxa"/>
            <w:vAlign w:val="center"/>
          </w:tcPr>
          <w:p>
            <w:pPr>
              <w:spacing w:line="276" w:lineRule="auto"/>
              <w:jc w:val="center"/>
              <w:rPr>
                <w:rFonts w:ascii="宋体" w:hAnsi="宋体" w:cs="宋体"/>
                <w:sz w:val="24"/>
                <w:szCs w:val="24"/>
              </w:rPr>
            </w:pPr>
            <w:r>
              <w:rPr>
                <w:rFonts w:hint="eastAsia" w:ascii="宋体" w:hAnsi="宋体" w:cs="宋体"/>
                <w:sz w:val="24"/>
                <w:szCs w:val="24"/>
                <w:lang w:val="en-US" w:eastAsia="zh-CN"/>
              </w:rPr>
              <w:t>20</w:t>
            </w:r>
            <w:r>
              <w:rPr>
                <w:rFonts w:hint="eastAsia" w:ascii="宋体" w:hAnsi="宋体" w:cs="宋体"/>
                <w:sz w:val="24"/>
                <w:szCs w:val="24"/>
              </w:rPr>
              <w:t>分</w:t>
            </w:r>
          </w:p>
        </w:tc>
        <w:tc>
          <w:tcPr>
            <w:tcW w:w="6974" w:type="dxa"/>
            <w:vAlign w:val="center"/>
          </w:tcPr>
          <w:p>
            <w:pPr>
              <w:spacing w:line="360" w:lineRule="auto"/>
              <w:rPr>
                <w:rFonts w:hint="default" w:eastAsiaTheme="minorEastAsia"/>
                <w:sz w:val="24"/>
                <w:szCs w:val="24"/>
                <w:lang w:val="en-US" w:eastAsia="zh-CN"/>
              </w:rPr>
            </w:pPr>
            <w:r>
              <w:rPr>
                <w:rFonts w:hint="default" w:eastAsiaTheme="minorEastAsia"/>
                <w:sz w:val="24"/>
                <w:szCs w:val="24"/>
                <w:lang w:val="en-US" w:eastAsia="zh-CN"/>
              </w:rPr>
              <w:t>根据供应商制定的服务方案进行评标，内容包括但不限于:</w:t>
            </w:r>
            <w:r>
              <w:rPr>
                <w:rFonts w:hint="eastAsia"/>
                <w:sz w:val="24"/>
                <w:szCs w:val="24"/>
                <w:lang w:val="en-US" w:eastAsia="zh-CN"/>
              </w:rPr>
              <w:t>①</w:t>
            </w:r>
            <w:r>
              <w:rPr>
                <w:rFonts w:hint="default" w:eastAsiaTheme="minorEastAsia"/>
                <w:sz w:val="24"/>
                <w:szCs w:val="24"/>
                <w:lang w:val="en-US" w:eastAsia="zh-CN"/>
              </w:rPr>
              <w:t>服务人员配置方案、</w:t>
            </w:r>
            <w:r>
              <w:rPr>
                <w:rFonts w:hint="eastAsia"/>
                <w:sz w:val="24"/>
                <w:szCs w:val="24"/>
                <w:lang w:val="en-US" w:eastAsia="zh-CN"/>
              </w:rPr>
              <w:t>②</w:t>
            </w:r>
            <w:r>
              <w:rPr>
                <w:rFonts w:hint="default" w:eastAsiaTheme="minorEastAsia"/>
                <w:sz w:val="24"/>
                <w:szCs w:val="24"/>
                <w:lang w:val="en-US" w:eastAsia="zh-CN"/>
              </w:rPr>
              <w:t>检测方案、</w:t>
            </w:r>
            <w:r>
              <w:rPr>
                <w:rFonts w:hint="eastAsia"/>
                <w:sz w:val="24"/>
                <w:szCs w:val="24"/>
                <w:lang w:val="en-US" w:eastAsia="zh-CN"/>
              </w:rPr>
              <w:t>③</w:t>
            </w:r>
            <w:r>
              <w:rPr>
                <w:rFonts w:hint="default" w:eastAsiaTheme="minorEastAsia"/>
                <w:sz w:val="24"/>
                <w:szCs w:val="24"/>
                <w:lang w:val="en-US" w:eastAsia="zh-CN"/>
              </w:rPr>
              <w:t>应急方案、</w:t>
            </w:r>
            <w:r>
              <w:rPr>
                <w:rFonts w:hint="eastAsia"/>
                <w:sz w:val="24"/>
                <w:szCs w:val="24"/>
                <w:lang w:val="en-US" w:eastAsia="zh-CN"/>
              </w:rPr>
              <w:t>④</w:t>
            </w:r>
            <w:r>
              <w:rPr>
                <w:rFonts w:hint="default" w:eastAsiaTheme="minorEastAsia"/>
                <w:sz w:val="24"/>
                <w:szCs w:val="24"/>
                <w:lang w:val="en-US" w:eastAsia="zh-CN"/>
              </w:rPr>
              <w:t>售后服务。</w:t>
            </w:r>
          </w:p>
          <w:p>
            <w:pPr>
              <w:spacing w:line="360" w:lineRule="auto"/>
              <w:rPr>
                <w:rFonts w:hint="default" w:eastAsiaTheme="minorEastAsia"/>
                <w:sz w:val="24"/>
                <w:szCs w:val="24"/>
                <w:lang w:val="en-US" w:eastAsia="zh-CN"/>
              </w:rPr>
            </w:pPr>
            <w:r>
              <w:rPr>
                <w:rFonts w:hint="default" w:eastAsiaTheme="minorEastAsia"/>
                <w:sz w:val="24"/>
                <w:szCs w:val="24"/>
                <w:lang w:val="en-US" w:eastAsia="zh-CN"/>
              </w:rPr>
              <w:t>以上 4 个部分齐全且同时满足:内容完整、逻辑严谨、符合项目及当地实际情况的得</w:t>
            </w:r>
            <w:r>
              <w:rPr>
                <w:rFonts w:hint="eastAsia"/>
                <w:sz w:val="24"/>
                <w:szCs w:val="24"/>
                <w:lang w:val="en-US" w:eastAsia="zh-CN"/>
              </w:rPr>
              <w:t>20</w:t>
            </w:r>
            <w:r>
              <w:rPr>
                <w:rFonts w:hint="default" w:eastAsiaTheme="minorEastAsia"/>
                <w:sz w:val="24"/>
                <w:szCs w:val="24"/>
                <w:lang w:val="en-US" w:eastAsia="zh-CN"/>
              </w:rPr>
              <w:t>分，每缺少一个部分扣5分，20分扣完为止</w:t>
            </w:r>
            <w:r>
              <w:rPr>
                <w:rFonts w:hint="eastAsia"/>
                <w:sz w:val="24"/>
                <w:szCs w:val="24"/>
                <w:lang w:val="en-US" w:eastAsia="zh-CN"/>
              </w:rPr>
              <w:t>；</w:t>
            </w:r>
            <w:r>
              <w:rPr>
                <w:rFonts w:hint="default" w:eastAsiaTheme="minorEastAsia"/>
                <w:sz w:val="24"/>
                <w:szCs w:val="24"/>
                <w:lang w:val="en-US" w:eastAsia="zh-CN"/>
              </w:rPr>
              <w:t>内容描述存在不完整、前后矛盾、不符合项目及医院实际情况中任何一种情形或其他不足之处的，每有处扣3分，每个部分最多扣</w:t>
            </w:r>
            <w:r>
              <w:rPr>
                <w:rFonts w:hint="eastAsia"/>
                <w:sz w:val="24"/>
                <w:szCs w:val="24"/>
                <w:lang w:val="en-US" w:eastAsia="zh-CN"/>
              </w:rPr>
              <w:t>10</w:t>
            </w:r>
            <w:r>
              <w:rPr>
                <w:rFonts w:hint="default" w:eastAsiaTheme="minorEastAsia"/>
                <w:sz w:val="24"/>
                <w:szCs w:val="24"/>
                <w:lang w:val="en-US" w:eastAsia="zh-CN"/>
              </w:rPr>
              <w:t>分，20分扣完为止。</w:t>
            </w:r>
          </w:p>
          <w:p>
            <w:pPr>
              <w:spacing w:line="360" w:lineRule="auto"/>
              <w:rPr>
                <w:rFonts w:ascii="宋体" w:hAnsi="宋体" w:cs="宋体"/>
                <w:sz w:val="24"/>
                <w:szCs w:val="24"/>
              </w:rPr>
            </w:pPr>
            <w:r>
              <w:rPr>
                <w:rFonts w:hint="eastAsia"/>
                <w:sz w:val="24"/>
                <w:szCs w:val="24"/>
                <w:lang w:val="en-US" w:eastAsia="zh-CN"/>
              </w:rPr>
              <w:t>（</w:t>
            </w:r>
            <w:r>
              <w:rPr>
                <w:rFonts w:hint="default" w:eastAsiaTheme="minorEastAsia"/>
                <w:sz w:val="24"/>
                <w:szCs w:val="24"/>
                <w:lang w:val="en-US" w:eastAsia="zh-CN"/>
              </w:rPr>
              <w:t>注:其他不足之处是指内容套用或错用、凭空编造、科学原理错误以及不可能实现的夸大情形等</w:t>
            </w: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79" w:type="dxa"/>
            <w:vAlign w:val="center"/>
          </w:tcPr>
          <w:p>
            <w:pPr>
              <w:spacing w:line="276" w:lineRule="auto"/>
              <w:jc w:val="center"/>
              <w:rPr>
                <w:rFonts w:hint="eastAsia" w:ascii="宋体" w:hAnsi="宋体" w:cs="宋体" w:eastAsiaTheme="minorEastAsia"/>
                <w:sz w:val="24"/>
                <w:szCs w:val="24"/>
                <w:lang w:eastAsia="zh-CN"/>
              </w:rPr>
            </w:pPr>
            <w:r>
              <w:rPr>
                <w:rFonts w:hint="eastAsia" w:ascii="宋体" w:hAnsi="宋体" w:cs="宋体"/>
                <w:sz w:val="24"/>
                <w:szCs w:val="24"/>
                <w:lang w:val="en-US" w:eastAsia="zh-CN"/>
              </w:rPr>
              <w:t>5</w:t>
            </w:r>
          </w:p>
        </w:tc>
        <w:tc>
          <w:tcPr>
            <w:tcW w:w="1282" w:type="dxa"/>
            <w:vAlign w:val="center"/>
          </w:tcPr>
          <w:p>
            <w:pPr>
              <w:spacing w:line="360" w:lineRule="auto"/>
              <w:rPr>
                <w:rFonts w:hint="default" w:ascii="宋体" w:hAnsi="宋体" w:cs="宋体"/>
                <w:sz w:val="24"/>
                <w:szCs w:val="24"/>
                <w:lang w:val="en-US"/>
              </w:rPr>
            </w:pPr>
            <w:r>
              <w:rPr>
                <w:rFonts w:hint="default" w:eastAsiaTheme="minorEastAsia"/>
                <w:sz w:val="24"/>
                <w:szCs w:val="24"/>
                <w:lang w:val="en-US" w:eastAsia="zh-CN"/>
              </w:rPr>
              <w:t>人员配备方案 15</w:t>
            </w:r>
            <w:r>
              <w:rPr>
                <w:rFonts w:hint="eastAsia"/>
                <w:sz w:val="24"/>
                <w:szCs w:val="24"/>
                <w:lang w:val="en-US" w:eastAsia="zh-CN"/>
              </w:rPr>
              <w:t>%</w:t>
            </w:r>
          </w:p>
        </w:tc>
        <w:tc>
          <w:tcPr>
            <w:tcW w:w="1281" w:type="dxa"/>
            <w:vAlign w:val="center"/>
          </w:tcPr>
          <w:p>
            <w:pPr>
              <w:spacing w:line="276" w:lineRule="auto"/>
              <w:jc w:val="center"/>
              <w:rPr>
                <w:rFonts w:ascii="宋体" w:hAnsi="宋体" w:cs="宋体"/>
                <w:sz w:val="24"/>
                <w:szCs w:val="24"/>
              </w:rPr>
            </w:pPr>
            <w:r>
              <w:rPr>
                <w:rFonts w:hint="eastAsia" w:ascii="宋体" w:hAnsi="宋体" w:cs="宋体"/>
                <w:sz w:val="24"/>
                <w:szCs w:val="24"/>
                <w:lang w:val="en-US" w:eastAsia="zh-CN"/>
              </w:rPr>
              <w:t>15</w:t>
            </w:r>
            <w:r>
              <w:rPr>
                <w:rFonts w:ascii="宋体" w:hAnsi="宋体" w:cs="宋体"/>
                <w:sz w:val="24"/>
                <w:szCs w:val="24"/>
              </w:rPr>
              <w:t>分</w:t>
            </w:r>
          </w:p>
        </w:tc>
        <w:tc>
          <w:tcPr>
            <w:tcW w:w="6974" w:type="dxa"/>
            <w:vAlign w:val="center"/>
          </w:tcPr>
          <w:p>
            <w:pPr>
              <w:numPr>
                <w:ilvl w:val="0"/>
                <w:numId w:val="2"/>
              </w:numPr>
              <w:spacing w:line="360" w:lineRule="auto"/>
              <w:rPr>
                <w:rFonts w:hint="eastAsia"/>
                <w:sz w:val="24"/>
                <w:szCs w:val="24"/>
                <w:lang w:val="en-US" w:eastAsia="zh-CN"/>
              </w:rPr>
            </w:pPr>
            <w:r>
              <w:rPr>
                <w:rFonts w:hint="default" w:eastAsiaTheme="minorEastAsia"/>
                <w:sz w:val="24"/>
                <w:szCs w:val="24"/>
                <w:lang w:val="en-US" w:eastAsia="zh-CN"/>
              </w:rPr>
              <w:t>拟投入本项目的项目组成员中，每具有一名高级职称的得2分</w:t>
            </w:r>
            <w:r>
              <w:rPr>
                <w:rFonts w:hint="eastAsia"/>
                <w:sz w:val="24"/>
                <w:szCs w:val="24"/>
                <w:lang w:val="en-US" w:eastAsia="zh-CN"/>
              </w:rPr>
              <w:t>，</w:t>
            </w:r>
            <w:r>
              <w:rPr>
                <w:rFonts w:hint="default" w:eastAsiaTheme="minorEastAsia"/>
                <w:sz w:val="24"/>
                <w:szCs w:val="24"/>
                <w:lang w:val="en-US" w:eastAsia="zh-CN"/>
              </w:rPr>
              <w:t>每具有一名中级职称的得1分，最高得 5分</w:t>
            </w:r>
            <w:r>
              <w:rPr>
                <w:rFonts w:hint="eastAsia"/>
                <w:sz w:val="24"/>
                <w:szCs w:val="24"/>
                <w:lang w:val="en-US" w:eastAsia="zh-CN"/>
              </w:rPr>
              <w:t>。</w:t>
            </w:r>
          </w:p>
          <w:p>
            <w:pPr>
              <w:numPr>
                <w:ilvl w:val="0"/>
                <w:numId w:val="2"/>
              </w:numPr>
              <w:spacing w:line="360" w:lineRule="auto"/>
              <w:rPr>
                <w:rFonts w:hint="default" w:eastAsiaTheme="minorEastAsia"/>
                <w:sz w:val="24"/>
                <w:szCs w:val="24"/>
                <w:lang w:val="en-US" w:eastAsia="zh-CN"/>
              </w:rPr>
            </w:pPr>
            <w:r>
              <w:rPr>
                <w:rFonts w:hint="default" w:eastAsiaTheme="minorEastAsia"/>
                <w:sz w:val="24"/>
                <w:szCs w:val="24"/>
                <w:lang w:val="en-US" w:eastAsia="zh-CN"/>
              </w:rPr>
              <w:t>拟投入本项目的项目组成员中，每具有一名放射卫生检测与评价培训合格证书的得</w:t>
            </w:r>
            <w:r>
              <w:rPr>
                <w:rFonts w:hint="eastAsia"/>
                <w:sz w:val="24"/>
                <w:szCs w:val="24"/>
                <w:lang w:val="en-US" w:eastAsia="zh-CN"/>
              </w:rPr>
              <w:t>2</w:t>
            </w:r>
            <w:r>
              <w:rPr>
                <w:rFonts w:hint="default" w:eastAsiaTheme="minorEastAsia"/>
                <w:sz w:val="24"/>
                <w:szCs w:val="24"/>
                <w:lang w:val="en-US" w:eastAsia="zh-CN"/>
              </w:rPr>
              <w:t>分，最高得</w:t>
            </w:r>
            <w:r>
              <w:rPr>
                <w:rFonts w:hint="eastAsia"/>
                <w:sz w:val="24"/>
                <w:szCs w:val="24"/>
                <w:lang w:val="en-US" w:eastAsia="zh-CN"/>
              </w:rPr>
              <w:t>10</w:t>
            </w:r>
            <w:r>
              <w:rPr>
                <w:rFonts w:hint="default" w:eastAsiaTheme="minorEastAsia"/>
                <w:sz w:val="24"/>
                <w:szCs w:val="24"/>
                <w:lang w:val="en-US" w:eastAsia="zh-CN"/>
              </w:rPr>
              <w:t>分。</w:t>
            </w:r>
          </w:p>
          <w:p>
            <w:pPr>
              <w:spacing w:line="360" w:lineRule="auto"/>
              <w:rPr>
                <w:rFonts w:ascii="宋体" w:hAnsi="宋体" w:cs="宋体"/>
                <w:sz w:val="24"/>
                <w:szCs w:val="24"/>
              </w:rPr>
            </w:pPr>
            <w:r>
              <w:rPr>
                <w:rFonts w:hint="default" w:eastAsiaTheme="minorEastAsia"/>
                <w:sz w:val="24"/>
                <w:szCs w:val="24"/>
                <w:lang w:val="en-US" w:eastAsia="zh-CN"/>
              </w:rPr>
              <w:t>注:</w:t>
            </w:r>
            <w:r>
              <w:rPr>
                <w:rFonts w:hint="eastAsia"/>
                <w:sz w:val="24"/>
                <w:szCs w:val="24"/>
                <w:lang w:val="en-US" w:eastAsia="zh-CN"/>
              </w:rPr>
              <w:t>①</w:t>
            </w:r>
            <w:r>
              <w:rPr>
                <w:rFonts w:hint="default" w:eastAsiaTheme="minorEastAsia"/>
                <w:sz w:val="24"/>
                <w:szCs w:val="24"/>
                <w:lang w:val="en-US" w:eastAsia="zh-CN"/>
              </w:rPr>
              <w:t>以上人员均不重复计分，</w:t>
            </w:r>
            <w:r>
              <w:rPr>
                <w:rFonts w:hint="eastAsia"/>
                <w:sz w:val="24"/>
                <w:szCs w:val="24"/>
                <w:lang w:val="en-US" w:eastAsia="zh-CN"/>
              </w:rPr>
              <w:t>②</w:t>
            </w:r>
            <w:r>
              <w:rPr>
                <w:rFonts w:hint="default" w:eastAsiaTheme="minorEastAsia"/>
                <w:sz w:val="24"/>
                <w:szCs w:val="24"/>
                <w:lang w:val="en-US" w:eastAsia="zh-CN"/>
              </w:rPr>
              <w:t>须提供相关人员证书复印件及在职证明</w:t>
            </w:r>
            <w:r>
              <w:rPr>
                <w:rFonts w:hint="eastAsia"/>
                <w:sz w:val="24"/>
                <w:szCs w:val="24"/>
                <w:lang w:val="en-US" w:eastAsia="zh-CN"/>
              </w:rPr>
              <w:t>（</w:t>
            </w:r>
            <w:r>
              <w:rPr>
                <w:rFonts w:hint="default" w:eastAsiaTheme="minorEastAsia"/>
                <w:sz w:val="24"/>
                <w:szCs w:val="24"/>
                <w:lang w:val="en-US" w:eastAsia="zh-CN"/>
              </w:rPr>
              <w:t>如劳动合同、工资发放凭证或缴纳的社保证明等</w:t>
            </w:r>
            <w:r>
              <w:rPr>
                <w:rFonts w:hint="eastAsia"/>
                <w:sz w:val="24"/>
                <w:szCs w:val="24"/>
                <w:lang w:val="en-US" w:eastAsia="zh-CN"/>
              </w:rPr>
              <w:t>）。</w:t>
            </w:r>
          </w:p>
        </w:tc>
      </w:tr>
    </w:tbl>
    <w:p>
      <w:pPr>
        <w:spacing w:line="360" w:lineRule="auto"/>
        <w:rPr>
          <w:rFonts w:hint="eastAsia"/>
          <w:sz w:val="24"/>
          <w:lang w:val="en-US" w:eastAsia="zh-CN"/>
        </w:rPr>
      </w:pPr>
      <w:r>
        <w:rPr>
          <w:rFonts w:hint="default" w:eastAsiaTheme="minorEastAsia"/>
          <w:sz w:val="24"/>
          <w:szCs w:val="24"/>
          <w:lang w:val="en-US" w:eastAsia="zh-CN"/>
        </w:rPr>
        <w:t>注:评分的取值按四舍五入法，保留</w:t>
      </w:r>
      <w:r>
        <w:rPr>
          <w:rFonts w:hint="eastAsia"/>
          <w:sz w:val="24"/>
          <w:szCs w:val="24"/>
          <w:lang w:val="en-US" w:eastAsia="zh-CN"/>
        </w:rPr>
        <w:t>小数点</w:t>
      </w:r>
      <w:r>
        <w:rPr>
          <w:rFonts w:hint="default" w:eastAsiaTheme="minorEastAsia"/>
          <w:sz w:val="24"/>
          <w:szCs w:val="24"/>
          <w:lang w:val="en-US" w:eastAsia="zh-CN"/>
        </w:rPr>
        <w:t>后两位。</w:t>
      </w:r>
    </w:p>
    <w:p/>
    <w:sectPr>
      <w:footerReference r:id="rId3" w:type="default"/>
      <w:pgSz w:w="11906" w:h="16838"/>
      <w:pgMar w:top="1440" w:right="1417" w:bottom="6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D3422"/>
    <w:multiLevelType w:val="singleLevel"/>
    <w:tmpl w:val="DA8D3422"/>
    <w:lvl w:ilvl="0" w:tentative="0">
      <w:start w:val="1"/>
      <w:numFmt w:val="decimal"/>
      <w:suff w:val="nothing"/>
      <w:lvlText w:val="%1、"/>
      <w:lvlJc w:val="left"/>
    </w:lvl>
  </w:abstractNum>
  <w:abstractNum w:abstractNumId="1">
    <w:nsid w:val="5E826A92"/>
    <w:multiLevelType w:val="singleLevel"/>
    <w:tmpl w:val="5E826A9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ZDY1MzUxZDhiMjQ2ODAxOTQ0YWVjY2FlNzJlZDIifQ=="/>
  </w:docVars>
  <w:rsids>
    <w:rsidRoot w:val="00172A27"/>
    <w:rsid w:val="017967E0"/>
    <w:rsid w:val="063D4F9B"/>
    <w:rsid w:val="08ED02FB"/>
    <w:rsid w:val="11366327"/>
    <w:rsid w:val="19A52226"/>
    <w:rsid w:val="19B40F6B"/>
    <w:rsid w:val="1EB03961"/>
    <w:rsid w:val="1FD42394"/>
    <w:rsid w:val="205659D8"/>
    <w:rsid w:val="21AA0207"/>
    <w:rsid w:val="22231957"/>
    <w:rsid w:val="26B17D5A"/>
    <w:rsid w:val="29ED3131"/>
    <w:rsid w:val="2AC96939"/>
    <w:rsid w:val="327316F4"/>
    <w:rsid w:val="32A43657"/>
    <w:rsid w:val="32BB37FC"/>
    <w:rsid w:val="32D71D2A"/>
    <w:rsid w:val="34190D7F"/>
    <w:rsid w:val="395120C1"/>
    <w:rsid w:val="3A2D1FC4"/>
    <w:rsid w:val="3DF81A4E"/>
    <w:rsid w:val="41E54B93"/>
    <w:rsid w:val="423216A8"/>
    <w:rsid w:val="452E2A4B"/>
    <w:rsid w:val="49A47AB1"/>
    <w:rsid w:val="4C082AC6"/>
    <w:rsid w:val="4CA2106F"/>
    <w:rsid w:val="4CBD3D9E"/>
    <w:rsid w:val="4D486880"/>
    <w:rsid w:val="4D855FC8"/>
    <w:rsid w:val="4E2F0641"/>
    <w:rsid w:val="4E3E10D6"/>
    <w:rsid w:val="577808D8"/>
    <w:rsid w:val="5B82096D"/>
    <w:rsid w:val="5BEC1180"/>
    <w:rsid w:val="5F0938E2"/>
    <w:rsid w:val="68CA0982"/>
    <w:rsid w:val="6E4C60D8"/>
    <w:rsid w:val="760B340F"/>
    <w:rsid w:val="7652228E"/>
    <w:rsid w:val="7B347284"/>
    <w:rsid w:val="7DD60A55"/>
    <w:rsid w:val="7E0C679B"/>
    <w:rsid w:val="7E164F7A"/>
    <w:rsid w:val="7E77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bCs/>
      <w:bdr w:val="single" w:color="C5D0DC" w:sz="6" w:space="0"/>
    </w:rPr>
  </w:style>
  <w:style w:type="character" w:styleId="9">
    <w:name w:val="page number"/>
    <w:basedOn w:val="7"/>
    <w:qFormat/>
    <w:uiPriority w:val="0"/>
  </w:style>
  <w:style w:type="character" w:styleId="10">
    <w:name w:val="FollowedHyperlink"/>
    <w:basedOn w:val="7"/>
    <w:qFormat/>
    <w:uiPriority w:val="0"/>
    <w:rPr>
      <w:color w:val="337AB7"/>
      <w:u w:val="none"/>
    </w:rPr>
  </w:style>
  <w:style w:type="character" w:styleId="11">
    <w:name w:val="HTML Definition"/>
    <w:basedOn w:val="7"/>
    <w:qFormat/>
    <w:uiPriority w:val="0"/>
    <w:rPr>
      <w:i/>
      <w:iCs/>
    </w:rPr>
  </w:style>
  <w:style w:type="character" w:styleId="12">
    <w:name w:val="Hyperlink"/>
    <w:basedOn w:val="7"/>
    <w:qFormat/>
    <w:uiPriority w:val="0"/>
    <w:rPr>
      <w:color w:val="337AB7"/>
      <w:u w:val="none"/>
    </w:rPr>
  </w:style>
  <w:style w:type="character" w:styleId="13">
    <w:name w:val="HTML Code"/>
    <w:basedOn w:val="7"/>
    <w:qFormat/>
    <w:uiPriority w:val="0"/>
    <w:rPr>
      <w:rFonts w:hint="default" w:ascii="Consolas" w:hAnsi="Consolas" w:eastAsia="Consolas" w:cs="Consolas"/>
      <w:color w:val="C7254E"/>
      <w:sz w:val="21"/>
      <w:szCs w:val="21"/>
      <w:shd w:val="clear" w:fill="F9F2F4"/>
    </w:rPr>
  </w:style>
  <w:style w:type="character" w:styleId="14">
    <w:name w:val="HTML Keyboard"/>
    <w:basedOn w:val="7"/>
    <w:qFormat/>
    <w:uiPriority w:val="0"/>
    <w:rPr>
      <w:rFonts w:hint="default" w:ascii="Consolas" w:hAnsi="Consolas" w:eastAsia="Consolas" w:cs="Consolas"/>
      <w:color w:val="FFFFFF"/>
      <w:sz w:val="21"/>
      <w:szCs w:val="21"/>
      <w:shd w:val="clear" w:fill="333333"/>
    </w:rPr>
  </w:style>
  <w:style w:type="character" w:styleId="15">
    <w:name w:val="HTML Sample"/>
    <w:basedOn w:val="7"/>
    <w:qFormat/>
    <w:uiPriority w:val="0"/>
    <w:rPr>
      <w:rFonts w:ascii="Consolas" w:hAnsi="Consolas" w:eastAsia="Consolas" w:cs="Consolas"/>
      <w:sz w:val="21"/>
      <w:szCs w:val="21"/>
    </w:rPr>
  </w:style>
  <w:style w:type="character" w:customStyle="1" w:styleId="16">
    <w:name w:val="layui-layer-tabnow"/>
    <w:basedOn w:val="7"/>
    <w:qFormat/>
    <w:uiPriority w:val="0"/>
    <w:rPr>
      <w:bdr w:val="single" w:color="CCCCCC" w:sz="6" w:space="0"/>
      <w:shd w:val="clear" w:fill="FFFFFF"/>
    </w:rPr>
  </w:style>
  <w:style w:type="character" w:customStyle="1" w:styleId="17">
    <w:name w:val="first-child"/>
    <w:basedOn w:val="7"/>
    <w:qFormat/>
    <w:uiPriority w:val="0"/>
  </w:style>
  <w:style w:type="character" w:customStyle="1" w:styleId="18">
    <w:name w:val="ui-icon10"/>
    <w:basedOn w:val="7"/>
    <w:qFormat/>
    <w:uiPriority w:val="0"/>
  </w:style>
  <w:style w:type="character" w:customStyle="1" w:styleId="19">
    <w:name w:val="active"/>
    <w:basedOn w:val="7"/>
    <w:qFormat/>
    <w:uiPriority w:val="0"/>
    <w:rPr>
      <w:bdr w:val="single" w:color="C6D4DF" w:sz="6" w:space="0"/>
      <w:shd w:val="clear" w:fill="FFFFFF"/>
    </w:rPr>
  </w:style>
  <w:style w:type="character" w:customStyle="1" w:styleId="20">
    <w:name w:val="input-icon2"/>
    <w:basedOn w:val="7"/>
    <w:qFormat/>
    <w:uiPriority w:val="0"/>
  </w:style>
  <w:style w:type="character" w:customStyle="1" w:styleId="21">
    <w:name w:val="before2"/>
    <w:basedOn w:val="7"/>
    <w:qFormat/>
    <w:uiPriority w:val="0"/>
    <w:rPr>
      <w:rFonts w:hint="default" w:ascii="FontAwesome" w:hAnsi="FontAwesome" w:eastAsia="FontAwesome" w:cs="FontAwesome"/>
      <w:color w:val="888888"/>
      <w:sz w:val="18"/>
      <w:szCs w:val="18"/>
    </w:rPr>
  </w:style>
  <w:style w:type="character" w:customStyle="1" w:styleId="22">
    <w:name w:val="before3"/>
    <w:basedOn w:val="7"/>
    <w:qFormat/>
    <w:uiPriority w:val="0"/>
    <w:rPr>
      <w:rFonts w:hint="default" w:ascii="FontAwesome" w:hAnsi="FontAwesome" w:eastAsia="FontAwesome" w:cs="FontAwesome"/>
      <w:color w:val="888888"/>
      <w:sz w:val="18"/>
      <w:szCs w:val="18"/>
    </w:rPr>
  </w:style>
  <w:style w:type="character" w:customStyle="1" w:styleId="23">
    <w:name w:val="ui-jqgrid-resize"/>
    <w:basedOn w:val="7"/>
    <w:qFormat/>
    <w:uiPriority w:val="0"/>
  </w:style>
  <w:style w:type="character" w:customStyle="1" w:styleId="24">
    <w:name w:val="ui-jqgrid-resize1"/>
    <w:basedOn w:val="7"/>
    <w:qFormat/>
    <w:uiPriority w:val="0"/>
  </w:style>
  <w:style w:type="character" w:customStyle="1" w:styleId="25">
    <w:name w:val="active4"/>
    <w:basedOn w:val="7"/>
    <w:qFormat/>
    <w:uiPriority w:val="0"/>
    <w:rPr>
      <w:bdr w:val="single" w:color="C6D4DF" w:sz="6" w:space="0"/>
      <w:shd w:val="clear" w:fill="FFFFFF"/>
    </w:rPr>
  </w:style>
  <w:style w:type="character" w:customStyle="1" w:styleId="26">
    <w:name w:val="first-child2"/>
    <w:basedOn w:val="7"/>
    <w:qFormat/>
    <w:uiPriority w:val="0"/>
  </w:style>
  <w:style w:type="character" w:customStyle="1" w:styleId="27">
    <w:name w:val="active2"/>
    <w:basedOn w:val="7"/>
    <w:qFormat/>
    <w:uiPriority w:val="0"/>
    <w:rPr>
      <w:bdr w:val="single" w:color="C6D4DF" w:sz="6" w:space="0"/>
      <w:shd w:val="clear" w:fill="FFFFFF"/>
    </w:rPr>
  </w:style>
  <w:style w:type="character" w:customStyle="1" w:styleId="28">
    <w:name w:val="ui-icon"/>
    <w:basedOn w:val="7"/>
    <w:qFormat/>
    <w:uiPriority w:val="0"/>
  </w:style>
  <w:style w:type="character" w:customStyle="1" w:styleId="29">
    <w:name w:val="before"/>
    <w:basedOn w:val="7"/>
    <w:qFormat/>
    <w:uiPriority w:val="0"/>
    <w:rPr>
      <w:rFonts w:hint="default" w:ascii="FontAwesome" w:hAnsi="FontAwesome" w:eastAsia="FontAwesome" w:cs="FontAwesome"/>
      <w:color w:val="888888"/>
      <w:sz w:val="18"/>
      <w:szCs w:val="18"/>
    </w:rPr>
  </w:style>
  <w:style w:type="character" w:customStyle="1" w:styleId="30">
    <w:name w:val="before1"/>
    <w:basedOn w:val="7"/>
    <w:qFormat/>
    <w:uiPriority w:val="0"/>
    <w:rPr>
      <w:rFonts w:hint="default" w:ascii="FontAwesome" w:hAnsi="FontAwesome" w:eastAsia="FontAwesome" w:cs="FontAwesome"/>
      <w:color w:val="888888"/>
      <w:sz w:val="18"/>
      <w:szCs w:val="18"/>
    </w:rPr>
  </w:style>
  <w:style w:type="character" w:customStyle="1" w:styleId="31">
    <w:name w:val="input-icon"/>
    <w:basedOn w:val="7"/>
    <w:qFormat/>
    <w:uiPriority w:val="0"/>
  </w:style>
  <w:style w:type="character" w:customStyle="1" w:styleId="32">
    <w:name w:val="ui-icon9"/>
    <w:basedOn w:val="7"/>
    <w:qFormat/>
    <w:uiPriority w:val="0"/>
  </w:style>
  <w:style w:type="character" w:customStyle="1" w:styleId="33">
    <w:name w:val="active3"/>
    <w:basedOn w:val="7"/>
    <w:qFormat/>
    <w:uiPriority w:val="0"/>
    <w:rPr>
      <w:bdr w:val="single" w:color="C6D4DF" w:sz="6" w:space="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493</Words>
  <Characters>770</Characters>
  <Lines>0</Lines>
  <Paragraphs>0</Paragraphs>
  <TotalTime>5</TotalTime>
  <ScaleCrop>false</ScaleCrop>
  <LinksUpToDate>false</LinksUpToDate>
  <CharactersWithSpaces>814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2021-07-06T02:05:00Z</dcterms:created>
  <dc:creator>likm</dc:creator>
  <cp:lastModifiedBy>cgzx</cp:lastModifiedBy>
  <cp:lastPrinted>2023-10-20T08:07:36Z</cp:lastPrinted>
  <dcterms:modified xsi:type="dcterms:W3CDTF">2023-10-20T08:10:48Z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8FA01141A8C64FBEBD31445F0EC996FC</vt:lpwstr>
  </property>
</Properties>
</file>