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left"/>
        <w:rPr>
          <w:rFonts w:hint="default" w:ascii="仿宋" w:hAnsi="仿宋" w:eastAsia="仿宋" w:cs="仿宋"/>
          <w:b w:val="0"/>
          <w:bCs w:val="0"/>
          <w:color w:val="auto"/>
          <w:sz w:val="32"/>
          <w:szCs w:val="18"/>
          <w:lang w:val="en-US" w:eastAsia="zh-CN"/>
        </w:rPr>
      </w:pPr>
      <w:r>
        <w:rPr>
          <w:rFonts w:hint="eastAsia" w:ascii="仿宋" w:hAnsi="仿宋" w:eastAsia="仿宋" w:cs="仿宋"/>
          <w:b w:val="0"/>
          <w:bCs w:val="0"/>
          <w:color w:val="auto"/>
          <w:sz w:val="32"/>
          <w:szCs w:val="18"/>
          <w:lang w:val="en-US" w:eastAsia="zh-CN"/>
        </w:rPr>
        <w:t>附件1：</w:t>
      </w:r>
    </w:p>
    <w:p>
      <w:pPr>
        <w:spacing w:line="600" w:lineRule="auto"/>
        <w:jc w:val="center"/>
        <w:rPr>
          <w:rFonts w:hint="eastAsia" w:ascii="仿宋" w:hAnsi="仿宋" w:eastAsia="仿宋" w:cs="仿宋"/>
          <w:b/>
          <w:bCs/>
          <w:color w:val="auto"/>
          <w:sz w:val="32"/>
          <w:szCs w:val="18"/>
          <w:lang w:val="en-US" w:eastAsia="zh-CN"/>
        </w:rPr>
      </w:pPr>
      <w:r>
        <w:rPr>
          <w:rFonts w:hint="eastAsia" w:ascii="仿宋" w:hAnsi="仿宋" w:eastAsia="仿宋" w:cs="仿宋"/>
          <w:b/>
          <w:bCs/>
          <w:color w:val="auto"/>
          <w:sz w:val="32"/>
          <w:szCs w:val="18"/>
          <w:lang w:val="en-US" w:eastAsia="zh-CN"/>
        </w:rPr>
        <w:t>大邑县人民医院数据机房精密空调年度维保服务采购项目</w:t>
      </w:r>
    </w:p>
    <w:p>
      <w:pPr>
        <w:tabs>
          <w:tab w:val="left" w:pos="2085"/>
        </w:tabs>
        <w:adjustRightInd w:val="0"/>
        <w:snapToGrid w:val="0"/>
        <w:spacing w:line="360" w:lineRule="auto"/>
        <w:ind w:firstLine="643"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一、服务内容</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1.1维保地点</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大邑县人民医院数据机房维保现场：四川省成都市大邑县晋原镇北街323号。</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1.2服务人员资质要求</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服务人员需精通精密空调的维护维修工作，拥有丰富的行业内实践工作经验，具备准确分析问题和快速解决问题的能力。</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服务团队需具备2名及以上专业技术服务人员，服务团队必须不少于2人持有制冷证和低压电工证执行机房精密空调的日常维保工作，必要时还要配备1名持有焊工证的工程师负责精密空调的铜管或其他必要的焊接工作，且团队内配置A/B角色的主备机制，满足进行7*24小时的服务响应的能力。</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（2）特别保障期间，甲方可根据保障类型要求乙方提供原厂授权工程师进行相关的保障工作。</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（3）具备深厚的管理知识，能够根据甲方的实际情况提出预防性改进措施和合理化建议，消除潜在故障隐患、提高设备运行效率。</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（4）具备良好的书面和口头表达能力，善于和客户沟通、了解客户需求，工作责任心强。</w:t>
      </w:r>
    </w:p>
    <w:p>
      <w:pPr>
        <w:tabs>
          <w:tab w:val="left" w:pos="2085"/>
        </w:tabs>
        <w:adjustRightInd w:val="0"/>
        <w:snapToGrid w:val="0"/>
        <w:spacing w:line="360" w:lineRule="auto"/>
        <w:ind w:firstLine="480" w:firstLineChars="200"/>
        <w:rPr>
          <w:rFonts w:hint="default"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（5）维护保养单位必须有充足的备件供应链,设备出现故障须要更换备件时能入时更换,以保证能及时维修,保证设备的正常运行。</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1.3维护服务</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乙方需安排具有资质证书（低压电工证、制冷证、焊工证等）的工程师到场对服务范围内的设备执行定期维护，同时需提供维护服务所必须的工器具，维护服务具体工作内容如下：</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（一）精密空调维护内容</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季度巡检，其中3次普通巡检保养，1次深度巡检保养，详细如下：</w:t>
      </w:r>
    </w:p>
    <w:tbl>
      <w:tblPr>
        <w:tblStyle w:val="17"/>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4605"/>
        <w:gridCol w:w="142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bottom"/>
          </w:tcPr>
          <w:p>
            <w:pPr>
              <w:tabs>
                <w:tab w:val="left" w:pos="2085"/>
              </w:tabs>
              <w:autoSpaceDE w:val="0"/>
              <w:autoSpaceDN w:val="0"/>
              <w:adjustRightInd w:val="0"/>
              <w:snapToGrid w:val="0"/>
              <w:spacing w:line="360" w:lineRule="auto"/>
              <w:ind w:firstLine="480" w:firstLineChars="20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主要项目</w:t>
            </w:r>
          </w:p>
        </w:tc>
        <w:tc>
          <w:tcPr>
            <w:tcW w:w="4605" w:type="dxa"/>
            <w:vAlign w:val="bottom"/>
          </w:tcPr>
          <w:p>
            <w:pPr>
              <w:tabs>
                <w:tab w:val="left" w:pos="2085"/>
              </w:tabs>
              <w:autoSpaceDE w:val="0"/>
              <w:autoSpaceDN w:val="0"/>
              <w:adjustRightInd w:val="0"/>
              <w:snapToGrid w:val="0"/>
              <w:spacing w:line="360" w:lineRule="auto"/>
              <w:ind w:firstLine="480" w:firstLineChars="20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巡检内容</w:t>
            </w:r>
          </w:p>
        </w:tc>
        <w:tc>
          <w:tcPr>
            <w:tcW w:w="1425" w:type="dxa"/>
            <w:vAlign w:val="bottom"/>
          </w:tcPr>
          <w:p>
            <w:pPr>
              <w:tabs>
                <w:tab w:val="left" w:pos="2085"/>
              </w:tabs>
              <w:autoSpaceDE w:val="0"/>
              <w:autoSpaceDN w:val="0"/>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普通巡检</w:t>
            </w:r>
          </w:p>
        </w:tc>
        <w:tc>
          <w:tcPr>
            <w:tcW w:w="1350" w:type="dxa"/>
            <w:vAlign w:val="bottom"/>
          </w:tcPr>
          <w:p>
            <w:pPr>
              <w:tabs>
                <w:tab w:val="left" w:pos="2085"/>
              </w:tabs>
              <w:autoSpaceDE w:val="0"/>
              <w:autoSpaceDN w:val="0"/>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深度巡检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工作环境检查</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检查设备运行环境是否满足要求</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设备外观结构检查</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检查设备外观结构是否完整可靠</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显示面板检查</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检查设备控制面板，调试控制面板显示功能、按钮功能是否正常</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零部件运行及可靠性检查</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检查设备各主要零部件是否运行正常，各零部件可靠性检查，如压缩机、风机、水阀、电加热等</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运行参数检查调测</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调测设备主要运行参数，如电流、压力等</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保护功能调试</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调试设备告警功能，如堵塞告警、漏水告警等</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部分器件清洁</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根据情况对滤网、室外机进行清理</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trPr>
        <w:tc>
          <w:tcPr>
            <w:tcW w:w="2170"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耗材更换</w:t>
            </w:r>
          </w:p>
        </w:tc>
        <w:tc>
          <w:tcPr>
            <w:tcW w:w="4605" w:type="dxa"/>
            <w:vAlign w:val="center"/>
          </w:tcPr>
          <w:p>
            <w:pPr>
              <w:tabs>
                <w:tab w:val="left" w:pos="2085"/>
              </w:tabs>
              <w:autoSpaceDE w:val="0"/>
              <w:autoSpaceDN w:val="0"/>
              <w:adjustRightInd w:val="0"/>
              <w:snapToGrid w:val="0"/>
              <w:spacing w:line="360" w:lineRule="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更换设备耗材，如滤网、加湿罐等</w:t>
            </w:r>
          </w:p>
        </w:tc>
        <w:tc>
          <w:tcPr>
            <w:tcW w:w="1425"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p>
        </w:tc>
        <w:tc>
          <w:tcPr>
            <w:tcW w:w="1350" w:type="dxa"/>
            <w:vAlign w:val="center"/>
          </w:tcPr>
          <w:p>
            <w:pPr>
              <w:tabs>
                <w:tab w:val="left" w:pos="2085"/>
              </w:tabs>
              <w:autoSpaceDE w:val="0"/>
              <w:autoSpaceDN w:val="0"/>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w:t>
            </w:r>
          </w:p>
        </w:tc>
      </w:tr>
    </w:tbl>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注：乙方须在年度维护后出具精密空调专项性能评估报告，并提出合理化建议。</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1.4维修服务</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大邑县人民医院的机房精密空调维修服务如下：</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保修包括以下内容</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每台精密空调配件包括：压缩机、室内外风机、电磁阀、显示屏、控制器、调速器、制冷剂、表冷器等（全包服务）。</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2）乙方承诺向甲方提供的维修配件均通过正规渠道进货并在供货时提供相关采购证明或渠道证明文件。</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保修不包括以下内容</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1）由于外部因素引起的故障或损坏的修理工作（如水管破裂、配电系统故障，自然灾害或其它人力不可抗拒的事故）。</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2）机组系统设备以外设备的修理工作。</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3）因甲方人为事故造成设备的损坏。</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1.5应急响应服务</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故障排除服务响应时间</w:t>
      </w:r>
    </w:p>
    <w:tbl>
      <w:tblPr>
        <w:tblStyle w:val="9"/>
        <w:tblW w:w="9420" w:type="dxa"/>
        <w:tblInd w:w="130" w:type="dxa"/>
        <w:tblLayout w:type="fixed"/>
        <w:tblCellMar>
          <w:top w:w="0" w:type="dxa"/>
          <w:left w:w="108" w:type="dxa"/>
          <w:bottom w:w="0" w:type="dxa"/>
          <w:right w:w="108" w:type="dxa"/>
        </w:tblCellMar>
      </w:tblPr>
      <w:tblGrid>
        <w:gridCol w:w="3060"/>
        <w:gridCol w:w="1710"/>
        <w:gridCol w:w="2160"/>
        <w:gridCol w:w="2490"/>
      </w:tblGrid>
      <w:tr>
        <w:tblPrEx>
          <w:tblLayout w:type="fixed"/>
          <w:tblCellMar>
            <w:top w:w="0" w:type="dxa"/>
            <w:left w:w="108" w:type="dxa"/>
            <w:bottom w:w="0" w:type="dxa"/>
            <w:right w:w="108" w:type="dxa"/>
          </w:tblCellMar>
        </w:tblPrEx>
        <w:tc>
          <w:tcPr>
            <w:tcW w:w="30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故障级别</w:t>
            </w:r>
          </w:p>
        </w:tc>
        <w:tc>
          <w:tcPr>
            <w:tcW w:w="1710" w:type="dxa"/>
            <w:tcBorders>
              <w:top w:val="single" w:color="000000" w:sz="4" w:space="0"/>
              <w:left w:val="nil"/>
              <w:bottom w:val="single" w:color="000000" w:sz="4" w:space="0"/>
              <w:right w:val="single" w:color="000000" w:sz="4" w:space="0"/>
            </w:tcBorders>
            <w:shd w:val="clear" w:color="auto" w:fill="FFFFFF"/>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响应时限</w:t>
            </w:r>
          </w:p>
        </w:tc>
        <w:tc>
          <w:tcPr>
            <w:tcW w:w="2160" w:type="dxa"/>
            <w:tcBorders>
              <w:top w:val="single" w:color="000000" w:sz="4" w:space="0"/>
              <w:left w:val="nil"/>
              <w:bottom w:val="single" w:color="000000" w:sz="4" w:space="0"/>
              <w:right w:val="single" w:color="000000" w:sz="4" w:space="0"/>
            </w:tcBorders>
            <w:shd w:val="clear" w:color="auto" w:fill="FFFFFF"/>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到达现场时限</w:t>
            </w:r>
          </w:p>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（如需到场）</w:t>
            </w:r>
          </w:p>
        </w:tc>
        <w:tc>
          <w:tcPr>
            <w:tcW w:w="2490" w:type="dxa"/>
            <w:tcBorders>
              <w:top w:val="single" w:color="000000" w:sz="4" w:space="0"/>
              <w:left w:val="nil"/>
              <w:bottom w:val="single" w:color="000000" w:sz="4" w:space="0"/>
              <w:right w:val="single" w:color="000000" w:sz="4" w:space="0"/>
            </w:tcBorders>
            <w:shd w:val="clear" w:color="auto" w:fill="FFFFFF"/>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修复时限</w:t>
            </w:r>
          </w:p>
        </w:tc>
      </w:tr>
      <w:tr>
        <w:tblPrEx>
          <w:tblLayout w:type="fixed"/>
          <w:tblCellMar>
            <w:top w:w="0" w:type="dxa"/>
            <w:left w:w="108" w:type="dxa"/>
            <w:bottom w:w="0" w:type="dxa"/>
            <w:right w:w="108" w:type="dxa"/>
          </w:tblCellMar>
        </w:tblPrEx>
        <w:trPr>
          <w:trHeight w:val="431" w:hRule="atLeast"/>
        </w:trPr>
        <w:tc>
          <w:tcPr>
            <w:tcW w:w="3060" w:type="dxa"/>
            <w:tcBorders>
              <w:top w:val="single" w:color="000000" w:sz="4" w:space="0"/>
              <w:left w:val="single" w:color="000000" w:sz="4" w:space="0"/>
              <w:bottom w:val="single" w:color="000000" w:sz="4" w:space="0"/>
              <w:right w:val="single" w:color="000000" w:sz="4" w:space="0"/>
            </w:tcBorders>
            <w:vAlign w:val="center"/>
          </w:tcPr>
          <w:p>
            <w:pPr>
              <w:tabs>
                <w:tab w:val="left" w:pos="2085"/>
              </w:tabs>
              <w:adjustRightInd w:val="0"/>
              <w:snapToGrid w:val="0"/>
              <w:spacing w:line="360" w:lineRule="auto"/>
              <w:jc w:val="both"/>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小故障：无需更换零件</w:t>
            </w:r>
          </w:p>
        </w:tc>
        <w:tc>
          <w:tcPr>
            <w:tcW w:w="171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立即响应</w:t>
            </w:r>
          </w:p>
        </w:tc>
        <w:tc>
          <w:tcPr>
            <w:tcW w:w="216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24小时</w:t>
            </w:r>
          </w:p>
        </w:tc>
        <w:tc>
          <w:tcPr>
            <w:tcW w:w="249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48小时内修复</w:t>
            </w:r>
          </w:p>
        </w:tc>
      </w:tr>
      <w:tr>
        <w:tblPrEx>
          <w:tblLayout w:type="fixed"/>
          <w:tblCellMar>
            <w:top w:w="0" w:type="dxa"/>
            <w:left w:w="108" w:type="dxa"/>
            <w:bottom w:w="0" w:type="dxa"/>
            <w:right w:w="108" w:type="dxa"/>
          </w:tblCellMar>
        </w:tblPrEx>
        <w:trPr>
          <w:trHeight w:val="409" w:hRule="atLeast"/>
        </w:trPr>
        <w:tc>
          <w:tcPr>
            <w:tcW w:w="3060" w:type="dxa"/>
            <w:tcBorders>
              <w:top w:val="single" w:color="000000" w:sz="4" w:space="0"/>
              <w:left w:val="single" w:color="000000" w:sz="4" w:space="0"/>
              <w:bottom w:val="single" w:color="000000" w:sz="4" w:space="0"/>
              <w:right w:val="single" w:color="000000" w:sz="4" w:space="0"/>
            </w:tcBorders>
            <w:vAlign w:val="center"/>
          </w:tcPr>
          <w:p>
            <w:pPr>
              <w:tabs>
                <w:tab w:val="left" w:pos="2085"/>
              </w:tabs>
              <w:adjustRightInd w:val="0"/>
              <w:snapToGrid w:val="0"/>
              <w:spacing w:line="360" w:lineRule="auto"/>
              <w:jc w:val="both"/>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一般故障：液位传感器，加湿水泵，电磁阀故障等；</w:t>
            </w:r>
          </w:p>
        </w:tc>
        <w:tc>
          <w:tcPr>
            <w:tcW w:w="171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立即响应</w:t>
            </w:r>
          </w:p>
        </w:tc>
        <w:tc>
          <w:tcPr>
            <w:tcW w:w="216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24小时</w:t>
            </w:r>
          </w:p>
        </w:tc>
        <w:tc>
          <w:tcPr>
            <w:tcW w:w="249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48小时内修复</w:t>
            </w:r>
          </w:p>
        </w:tc>
      </w:tr>
      <w:tr>
        <w:tblPrEx>
          <w:tblLayout w:type="fixed"/>
          <w:tblCellMar>
            <w:top w:w="0" w:type="dxa"/>
            <w:left w:w="108" w:type="dxa"/>
            <w:bottom w:w="0" w:type="dxa"/>
            <w:right w:w="108" w:type="dxa"/>
          </w:tblCellMar>
        </w:tblPrEx>
        <w:trPr>
          <w:trHeight w:val="557" w:hRule="atLeast"/>
        </w:trPr>
        <w:tc>
          <w:tcPr>
            <w:tcW w:w="3060" w:type="dxa"/>
            <w:tcBorders>
              <w:top w:val="single" w:color="000000" w:sz="4" w:space="0"/>
              <w:left w:val="single" w:color="000000" w:sz="4" w:space="0"/>
              <w:bottom w:val="single" w:color="000000" w:sz="4" w:space="0"/>
              <w:right w:val="single" w:color="000000" w:sz="4" w:space="0"/>
            </w:tcBorders>
            <w:vAlign w:val="center"/>
          </w:tcPr>
          <w:p>
            <w:pPr>
              <w:tabs>
                <w:tab w:val="left" w:pos="2085"/>
              </w:tabs>
              <w:adjustRightInd w:val="0"/>
              <w:snapToGrid w:val="0"/>
              <w:spacing w:line="360" w:lineRule="auto"/>
              <w:jc w:val="both"/>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严重故障：风机，压缩机，表冷器故障等；</w:t>
            </w:r>
          </w:p>
        </w:tc>
        <w:tc>
          <w:tcPr>
            <w:tcW w:w="171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立即响应</w:t>
            </w:r>
          </w:p>
        </w:tc>
        <w:tc>
          <w:tcPr>
            <w:tcW w:w="216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24小时</w:t>
            </w:r>
          </w:p>
        </w:tc>
        <w:tc>
          <w:tcPr>
            <w:tcW w:w="2490" w:type="dxa"/>
            <w:tcBorders>
              <w:top w:val="single" w:color="000000" w:sz="4" w:space="0"/>
              <w:left w:val="nil"/>
              <w:bottom w:val="single" w:color="000000" w:sz="4" w:space="0"/>
              <w:right w:val="single" w:color="000000" w:sz="4" w:space="0"/>
            </w:tcBorders>
            <w:vAlign w:val="center"/>
          </w:tcPr>
          <w:p>
            <w:pPr>
              <w:tabs>
                <w:tab w:val="left" w:pos="2085"/>
              </w:tabs>
              <w:adjustRightInd w:val="0"/>
              <w:snapToGrid w:val="0"/>
              <w:spacing w:line="360" w:lineRule="auto"/>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修复根据实际情况，最长时间不超过1周；</w:t>
            </w:r>
          </w:p>
        </w:tc>
      </w:tr>
    </w:tbl>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1.6备品备件</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乙方负责提供维保所用的备品备件，用于维护、维修及定时更换之用，以保证设备的健康运行及高可用。在当地服务所在地存放现场备件，确保能及时得到维修所需的备件。</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乙方承诺向甲方提供的备品备件均通过正规渠道进货并在供货时提供相关采购证明或渠道证明文件。（如原厂商认可的经销商签发的渠道证明文件等）</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1.7技术培训</w:t>
      </w:r>
      <w:r>
        <w:rPr>
          <w:rFonts w:hint="eastAsia" w:ascii="仿宋" w:hAnsi="仿宋" w:eastAsia="仿宋" w:cs="仿宋"/>
          <w:b w:val="0"/>
          <w:bCs w:val="0"/>
          <w:color w:val="auto"/>
          <w:sz w:val="24"/>
          <w:szCs w:val="24"/>
          <w:highlight w:val="none"/>
          <w:shd w:val="clear" w:color="auto" w:fill="auto"/>
          <w:lang w:val="en-US" w:eastAsia="zh-CN"/>
        </w:rPr>
        <w:tab/>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乙方安排专业的技术工程师向甲方提供每年1次的设备及维保相关的技术培训，同时提交相关的培训材料。</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1.8其他要求</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乙方将配合甲方制订或更新设备的维护保养手册，根据数据中心的维护要求，执行维护内容，对照手册按照甲方的计划对设备进行定期的维护保养工作，同时根据设备的运行状态对设备的维护保养提出优化建议。</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（2）乙方需根据甲方的维护要求，现场对照设备维护手册内容，逐项完成维护工作，同时在现场填写完成相应的维护手册，在每次维护年度结束的前一个月内提交设备健康状况评估及优化建议等报告。</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（3）乙方需根据甲方的时间窗口，接受甲方的任务安排，听从甲方的调度执行设备的维修工作。</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（4）对于较为重大的故障，乙方需根据甲方要求，对故障原因进行深入分析并出具详细的故障分析报告。</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（5）如因乙方服务范围内的设备故障导致数据中心业务受到影响，乙方需根据甲方要求配合出具相关的书面解释及声明等文档。</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（6）乙方在现场执行维保服务时，有义务对甲方的日常维护及故障处理提出注意事项及优化建议，但这并不免除乙方按照本合同的规定提供设备维保服务。</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（7）乙方需提供设备维保人员的名单及资质证明等文件，未经甲方书面同意，乙方不得擅自更换维保人员，名单内的相关人员如有特殊情况（出差、休假等）需书面向甲方进行报备。</w:t>
      </w:r>
    </w:p>
    <w:p>
      <w:pPr>
        <w:tabs>
          <w:tab w:val="left" w:pos="2085"/>
        </w:tabs>
        <w:adjustRightInd w:val="0"/>
        <w:snapToGrid w:val="0"/>
        <w:spacing w:line="360" w:lineRule="auto"/>
        <w:ind w:firstLine="480" w:firstLineChars="200"/>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（8）本合同规定的其他责任义务。</w:t>
      </w:r>
    </w:p>
    <w:p>
      <w:pPr>
        <w:spacing w:line="600" w:lineRule="exact"/>
        <w:ind w:firstLine="1405" w:firstLineChars="500"/>
        <w:rPr>
          <w:rFonts w:ascii="宋体" w:hAnsi="宋体"/>
          <w:b/>
          <w:bCs/>
          <w:szCs w:val="24"/>
        </w:rPr>
      </w:pPr>
      <w:bookmarkStart w:id="0" w:name="_GoBack"/>
      <w:bookmarkEnd w:id="0"/>
      <w:r>
        <w:rPr>
          <w:rFonts w:hint="eastAsia" w:ascii="宋体" w:hAnsi="宋体"/>
          <w:b/>
          <w:bCs/>
          <w:szCs w:val="24"/>
        </w:rPr>
        <w:t>大邑县人民医院机房精密空调设备清单</w:t>
      </w:r>
    </w:p>
    <w:p>
      <w:pPr>
        <w:pStyle w:val="18"/>
        <w:numPr>
          <w:ilvl w:val="0"/>
          <w:numId w:val="2"/>
        </w:numPr>
        <w:adjustRightInd/>
        <w:snapToGrid/>
        <w:spacing w:line="600" w:lineRule="exact"/>
        <w:ind w:firstLineChars="0"/>
        <w:jc w:val="left"/>
        <w:rPr>
          <w:rFonts w:ascii="宋体" w:hAnsi="宋体"/>
          <w:sz w:val="24"/>
          <w:szCs w:val="24"/>
        </w:rPr>
      </w:pPr>
      <w:r>
        <w:rPr>
          <w:rFonts w:hint="eastAsia" w:ascii="宋体" w:hAnsi="宋体"/>
          <w:sz w:val="24"/>
          <w:szCs w:val="24"/>
        </w:rPr>
        <w:t>大邑县人民医院数据机房精密空调设备清单</w:t>
      </w:r>
    </w:p>
    <w:tbl>
      <w:tblPr>
        <w:tblStyle w:val="9"/>
        <w:tblW w:w="903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968"/>
        <w:gridCol w:w="1847"/>
        <w:gridCol w:w="729"/>
        <w:gridCol w:w="3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序号</w:t>
            </w:r>
          </w:p>
        </w:tc>
        <w:tc>
          <w:tcPr>
            <w:tcW w:w="1968"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设备名称</w:t>
            </w:r>
          </w:p>
        </w:tc>
        <w:tc>
          <w:tcPr>
            <w:tcW w:w="1847"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设备型号</w:t>
            </w:r>
          </w:p>
        </w:tc>
        <w:tc>
          <w:tcPr>
            <w:tcW w:w="729"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数量</w:t>
            </w:r>
          </w:p>
        </w:tc>
        <w:tc>
          <w:tcPr>
            <w:tcW w:w="3786" w:type="dxa"/>
            <w:noWrap/>
            <w:vAlign w:val="center"/>
          </w:tcPr>
          <w:p>
            <w:pPr>
              <w:widowControl/>
              <w:jc w:val="center"/>
              <w:rPr>
                <w:rFonts w:ascii="宋体" w:hAnsi="宋体" w:cs="宋体"/>
                <w:b/>
                <w:bCs/>
                <w:color w:val="000000"/>
                <w:szCs w:val="24"/>
              </w:rPr>
            </w:pPr>
            <w:r>
              <w:rPr>
                <w:rFonts w:hint="eastAsia" w:ascii="宋体" w:hAnsi="宋体" w:cs="宋体"/>
                <w:b/>
                <w:bCs/>
                <w:color w:val="000000"/>
                <w:szCs w:val="24"/>
              </w:rPr>
              <w:t>主要参数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1</w:t>
            </w:r>
          </w:p>
        </w:tc>
        <w:tc>
          <w:tcPr>
            <w:tcW w:w="1968" w:type="dxa"/>
            <w:vMerge w:val="restart"/>
            <w:noWrap/>
            <w:vAlign w:val="center"/>
          </w:tcPr>
          <w:p>
            <w:pPr>
              <w:widowControl/>
              <w:jc w:val="center"/>
              <w:rPr>
                <w:rFonts w:ascii="宋体" w:hAnsi="宋体" w:cs="宋体"/>
                <w:color w:val="000000"/>
                <w:sz w:val="22"/>
              </w:rPr>
            </w:pPr>
            <w:r>
              <w:rPr>
                <w:rFonts w:hint="eastAsia" w:ascii="宋体" w:hAnsi="宋体" w:cs="宋体"/>
                <w:color w:val="000000"/>
                <w:sz w:val="22"/>
              </w:rPr>
              <w:t>精密空调</w:t>
            </w:r>
          </w:p>
          <w:p>
            <w:pPr>
              <w:widowControl/>
              <w:jc w:val="left"/>
              <w:rPr>
                <w:rFonts w:ascii="宋体" w:hAnsi="宋体" w:cs="宋体"/>
                <w:color w:val="000000"/>
                <w:sz w:val="22"/>
              </w:rPr>
            </w:pPr>
            <w:r>
              <w:rPr>
                <w:rFonts w:hint="eastAsia" w:ascii="宋体" w:hAnsi="宋体" w:cs="宋体"/>
                <w:color w:val="000000"/>
                <w:sz w:val="22"/>
              </w:rPr>
              <w:t>(品牌：</w:t>
            </w:r>
            <w:r>
              <w:rPr>
                <w:rFonts w:ascii="宋体" w:hAnsi="宋体" w:cs="宋体"/>
                <w:color w:val="000000"/>
                <w:sz w:val="22"/>
              </w:rPr>
              <w:t>依米</w:t>
            </w:r>
            <w:r>
              <w:rPr>
                <w:rFonts w:hint="eastAsia" w:ascii="宋体" w:hAnsi="宋体" w:cs="宋体"/>
                <w:color w:val="000000"/>
                <w:sz w:val="22"/>
              </w:rPr>
              <w:t>康</w:t>
            </w:r>
            <w:r>
              <w:rPr>
                <w:rFonts w:ascii="宋体" w:hAnsi="宋体" w:cs="宋体"/>
                <w:color w:val="000000"/>
                <w:sz w:val="22"/>
              </w:rPr>
              <w:t>）</w:t>
            </w:r>
          </w:p>
        </w:tc>
        <w:tc>
          <w:tcPr>
            <w:tcW w:w="1847" w:type="dxa"/>
            <w:noWrap/>
            <w:vAlign w:val="center"/>
          </w:tcPr>
          <w:p>
            <w:pPr>
              <w:widowControl/>
              <w:jc w:val="center"/>
              <w:rPr>
                <w:rFonts w:ascii="宋体" w:hAnsi="宋体" w:cs="宋体"/>
                <w:color w:val="000000"/>
                <w:sz w:val="22"/>
              </w:rPr>
            </w:pPr>
            <w:r>
              <w:rPr>
                <w:rFonts w:hint="eastAsia" w:ascii="宋体" w:hAnsi="宋体" w:cs="宋体"/>
                <w:color w:val="000000"/>
                <w:sz w:val="22"/>
              </w:rPr>
              <w:t>SDA</w:t>
            </w:r>
            <w:r>
              <w:rPr>
                <w:rFonts w:ascii="宋体" w:hAnsi="宋体" w:cs="宋体"/>
                <w:color w:val="000000"/>
                <w:sz w:val="22"/>
              </w:rPr>
              <w:t>121</w:t>
            </w:r>
            <w:r>
              <w:rPr>
                <w:rFonts w:hint="eastAsia" w:ascii="宋体" w:hAnsi="宋体" w:cs="宋体"/>
                <w:color w:val="000000"/>
                <w:sz w:val="22"/>
              </w:rPr>
              <w:t>U</w:t>
            </w:r>
          </w:p>
        </w:tc>
        <w:tc>
          <w:tcPr>
            <w:tcW w:w="729" w:type="dxa"/>
            <w:noWrap/>
            <w:vAlign w:val="center"/>
          </w:tcPr>
          <w:p>
            <w:pPr>
              <w:widowControl/>
              <w:jc w:val="center"/>
              <w:rPr>
                <w:rFonts w:ascii="宋体" w:hAnsi="宋体" w:cs="宋体"/>
                <w:color w:val="000000"/>
                <w:sz w:val="22"/>
              </w:rPr>
            </w:pPr>
            <w:r>
              <w:rPr>
                <w:rFonts w:ascii="宋体" w:hAnsi="宋体" w:cs="宋体"/>
                <w:color w:val="000000"/>
                <w:sz w:val="22"/>
              </w:rPr>
              <w:t>1</w:t>
            </w:r>
          </w:p>
        </w:tc>
        <w:tc>
          <w:tcPr>
            <w:tcW w:w="3786" w:type="dxa"/>
            <w:noWrap/>
            <w:vAlign w:val="center"/>
          </w:tcPr>
          <w:p>
            <w:pPr>
              <w:widowControl/>
              <w:jc w:val="center"/>
              <w:rPr>
                <w:rFonts w:ascii="宋体" w:hAnsi="宋体" w:cs="宋体"/>
                <w:color w:val="000000"/>
                <w:sz w:val="22"/>
              </w:rPr>
            </w:pPr>
            <w:r>
              <w:rPr>
                <w:rFonts w:hint="eastAsia" w:ascii="宋体" w:hAnsi="宋体" w:cs="宋体"/>
                <w:color w:val="000000"/>
                <w:sz w:val="22"/>
              </w:rPr>
              <w:t>额定制冷量：1</w:t>
            </w:r>
            <w:r>
              <w:rPr>
                <w:rFonts w:ascii="宋体" w:hAnsi="宋体" w:cs="宋体"/>
                <w:color w:val="000000"/>
                <w:sz w:val="22"/>
              </w:rPr>
              <w:t>2.5</w:t>
            </w:r>
            <w:r>
              <w:rPr>
                <w:rFonts w:hint="eastAsia" w:ascii="宋体" w:hAnsi="宋体" w:cs="宋体"/>
                <w:color w:val="000000"/>
                <w:sz w:val="22"/>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2</w:t>
            </w:r>
          </w:p>
        </w:tc>
        <w:tc>
          <w:tcPr>
            <w:tcW w:w="1968" w:type="dxa"/>
            <w:vMerge w:val="continue"/>
            <w:vAlign w:val="center"/>
          </w:tcPr>
          <w:p>
            <w:pPr>
              <w:widowControl/>
              <w:jc w:val="left"/>
              <w:rPr>
                <w:rFonts w:ascii="宋体" w:hAnsi="宋体" w:cs="宋体"/>
                <w:color w:val="000000"/>
                <w:sz w:val="22"/>
              </w:rPr>
            </w:pPr>
          </w:p>
        </w:tc>
        <w:tc>
          <w:tcPr>
            <w:tcW w:w="1847" w:type="dxa"/>
            <w:noWrap/>
            <w:vAlign w:val="center"/>
          </w:tcPr>
          <w:p>
            <w:pPr>
              <w:widowControl/>
              <w:jc w:val="center"/>
              <w:rPr>
                <w:rFonts w:ascii="宋体" w:hAnsi="宋体" w:cs="宋体"/>
                <w:color w:val="000000"/>
                <w:sz w:val="22"/>
              </w:rPr>
            </w:pPr>
            <w:r>
              <w:rPr>
                <w:rFonts w:hint="eastAsia" w:ascii="宋体" w:hAnsi="宋体" w:cs="宋体"/>
                <w:color w:val="000000"/>
                <w:sz w:val="22"/>
              </w:rPr>
              <w:t>SDA121U</w:t>
            </w:r>
          </w:p>
        </w:tc>
        <w:tc>
          <w:tcPr>
            <w:tcW w:w="729" w:type="dxa"/>
            <w:noWrap/>
            <w:vAlign w:val="center"/>
          </w:tcPr>
          <w:p>
            <w:pPr>
              <w:widowControl/>
              <w:jc w:val="center"/>
              <w:rPr>
                <w:rFonts w:ascii="宋体" w:hAnsi="宋体" w:cs="宋体"/>
                <w:color w:val="000000"/>
                <w:sz w:val="22"/>
              </w:rPr>
            </w:pPr>
            <w:r>
              <w:rPr>
                <w:rFonts w:ascii="宋体" w:hAnsi="宋体" w:cs="宋体"/>
                <w:color w:val="000000"/>
                <w:sz w:val="22"/>
              </w:rPr>
              <w:t>1</w:t>
            </w:r>
          </w:p>
        </w:tc>
        <w:tc>
          <w:tcPr>
            <w:tcW w:w="3786" w:type="dxa"/>
            <w:noWrap/>
            <w:vAlign w:val="center"/>
          </w:tcPr>
          <w:p>
            <w:pPr>
              <w:widowControl/>
              <w:jc w:val="center"/>
              <w:rPr>
                <w:rFonts w:ascii="宋体" w:hAnsi="宋体" w:cs="宋体"/>
                <w:color w:val="000000"/>
                <w:sz w:val="22"/>
              </w:rPr>
            </w:pPr>
            <w:r>
              <w:rPr>
                <w:rFonts w:hint="eastAsia" w:ascii="宋体" w:hAnsi="宋体" w:cs="宋体"/>
                <w:color w:val="000000"/>
                <w:sz w:val="22"/>
              </w:rPr>
              <w:t>额定制冷量：1</w:t>
            </w:r>
            <w:r>
              <w:rPr>
                <w:rFonts w:ascii="宋体" w:hAnsi="宋体" w:cs="宋体"/>
                <w:color w:val="000000"/>
                <w:sz w:val="22"/>
              </w:rPr>
              <w:t>2.5</w:t>
            </w:r>
            <w:r>
              <w:rPr>
                <w:rFonts w:hint="eastAsia" w:ascii="宋体" w:hAnsi="宋体" w:cs="宋体"/>
                <w:color w:val="000000"/>
                <w:sz w:val="22"/>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3</w:t>
            </w:r>
          </w:p>
        </w:tc>
        <w:tc>
          <w:tcPr>
            <w:tcW w:w="1968" w:type="dxa"/>
            <w:vAlign w:val="center"/>
          </w:tcPr>
          <w:p>
            <w:pPr>
              <w:widowControl/>
              <w:jc w:val="center"/>
              <w:rPr>
                <w:rFonts w:ascii="宋体" w:hAnsi="宋体" w:cs="宋体"/>
                <w:color w:val="000000"/>
                <w:sz w:val="22"/>
              </w:rPr>
            </w:pPr>
            <w:r>
              <w:rPr>
                <w:rFonts w:hint="eastAsia" w:ascii="宋体" w:hAnsi="宋体" w:cs="宋体"/>
                <w:color w:val="000000"/>
                <w:sz w:val="22"/>
              </w:rPr>
              <w:t>精密空调</w:t>
            </w:r>
          </w:p>
          <w:p>
            <w:pPr>
              <w:widowControl/>
              <w:jc w:val="center"/>
              <w:rPr>
                <w:rFonts w:ascii="宋体" w:hAnsi="宋体" w:cs="宋体"/>
                <w:color w:val="000000"/>
                <w:sz w:val="22"/>
              </w:rPr>
            </w:pPr>
            <w:r>
              <w:rPr>
                <w:rFonts w:hint="eastAsia" w:ascii="宋体" w:hAnsi="宋体" w:cs="宋体"/>
                <w:color w:val="000000"/>
                <w:sz w:val="22"/>
              </w:rPr>
              <w:t>(品牌：艾默生)</w:t>
            </w:r>
          </w:p>
        </w:tc>
        <w:tc>
          <w:tcPr>
            <w:tcW w:w="1847" w:type="dxa"/>
            <w:noWrap/>
            <w:vAlign w:val="center"/>
          </w:tcPr>
          <w:p>
            <w:pPr>
              <w:widowControl/>
              <w:jc w:val="center"/>
              <w:rPr>
                <w:rFonts w:ascii="宋体" w:hAnsi="宋体" w:cs="宋体"/>
                <w:color w:val="000000"/>
                <w:sz w:val="22"/>
              </w:rPr>
            </w:pPr>
            <w:r>
              <w:rPr>
                <w:rFonts w:hint="eastAsia" w:ascii="宋体" w:hAnsi="宋体" w:cs="宋体"/>
                <w:color w:val="000000"/>
                <w:sz w:val="22"/>
              </w:rPr>
              <w:t>DATAMATE3000</w:t>
            </w:r>
          </w:p>
        </w:tc>
        <w:tc>
          <w:tcPr>
            <w:tcW w:w="729" w:type="dxa"/>
            <w:noWrap/>
            <w:vAlign w:val="center"/>
          </w:tcPr>
          <w:p>
            <w:pPr>
              <w:widowControl/>
              <w:jc w:val="center"/>
              <w:rPr>
                <w:rFonts w:ascii="宋体" w:hAnsi="宋体" w:cs="宋体"/>
                <w:color w:val="000000"/>
                <w:sz w:val="22"/>
              </w:rPr>
            </w:pPr>
            <w:r>
              <w:rPr>
                <w:rFonts w:ascii="宋体" w:hAnsi="宋体" w:cs="宋体"/>
                <w:color w:val="000000"/>
                <w:sz w:val="22"/>
              </w:rPr>
              <w:t>1</w:t>
            </w:r>
          </w:p>
        </w:tc>
        <w:tc>
          <w:tcPr>
            <w:tcW w:w="3786" w:type="dxa"/>
            <w:noWrap/>
            <w:vAlign w:val="center"/>
          </w:tcPr>
          <w:p>
            <w:pPr>
              <w:widowControl/>
              <w:jc w:val="center"/>
              <w:rPr>
                <w:rFonts w:ascii="宋体" w:hAnsi="宋体" w:cs="宋体"/>
                <w:color w:val="000000"/>
                <w:sz w:val="22"/>
              </w:rPr>
            </w:pPr>
            <w:r>
              <w:rPr>
                <w:rFonts w:hint="eastAsia" w:ascii="宋体" w:hAnsi="宋体" w:cs="宋体"/>
                <w:color w:val="000000"/>
                <w:sz w:val="22"/>
              </w:rPr>
              <w:t>额定制冷量：1</w:t>
            </w:r>
            <w:r>
              <w:rPr>
                <w:rFonts w:ascii="宋体" w:hAnsi="宋体" w:cs="宋体"/>
                <w:color w:val="000000"/>
                <w:sz w:val="22"/>
              </w:rPr>
              <w:t>2.5</w:t>
            </w:r>
            <w:r>
              <w:rPr>
                <w:rFonts w:hint="eastAsia" w:ascii="宋体" w:hAnsi="宋体" w:cs="宋体"/>
                <w:color w:val="000000"/>
                <w:sz w:val="22"/>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700" w:type="dxa"/>
            <w:noWrap/>
            <w:vAlign w:val="center"/>
          </w:tcPr>
          <w:p>
            <w:pPr>
              <w:widowControl/>
              <w:jc w:val="center"/>
              <w:rPr>
                <w:rFonts w:ascii="宋体" w:hAnsi="宋体" w:cs="宋体"/>
                <w:color w:val="000000"/>
                <w:sz w:val="22"/>
              </w:rPr>
            </w:pPr>
            <w:r>
              <w:rPr>
                <w:rFonts w:hint="eastAsia" w:ascii="宋体" w:hAnsi="宋体" w:cs="宋体"/>
                <w:color w:val="000000"/>
                <w:sz w:val="22"/>
              </w:rPr>
              <w:t>5</w:t>
            </w:r>
          </w:p>
        </w:tc>
        <w:tc>
          <w:tcPr>
            <w:tcW w:w="3815" w:type="dxa"/>
            <w:gridSpan w:val="2"/>
            <w:noWrap/>
            <w:vAlign w:val="center"/>
          </w:tcPr>
          <w:p>
            <w:pPr>
              <w:widowControl/>
              <w:jc w:val="center"/>
              <w:rPr>
                <w:rFonts w:ascii="宋体" w:hAnsi="宋体" w:cs="宋体"/>
                <w:color w:val="000000"/>
                <w:sz w:val="22"/>
              </w:rPr>
            </w:pPr>
            <w:r>
              <w:rPr>
                <w:rFonts w:hint="eastAsia" w:ascii="宋体" w:hAnsi="宋体" w:cs="宋体"/>
                <w:color w:val="000000"/>
                <w:sz w:val="22"/>
              </w:rPr>
              <w:t>合计</w:t>
            </w:r>
          </w:p>
        </w:tc>
        <w:tc>
          <w:tcPr>
            <w:tcW w:w="729" w:type="dxa"/>
            <w:vAlign w:val="center"/>
          </w:tcPr>
          <w:p>
            <w:pPr>
              <w:widowControl/>
              <w:jc w:val="center"/>
              <w:rPr>
                <w:rFonts w:ascii="宋体" w:hAnsi="宋体" w:cs="宋体"/>
                <w:color w:val="000000"/>
                <w:sz w:val="22"/>
              </w:rPr>
            </w:pPr>
            <w:r>
              <w:rPr>
                <w:rFonts w:hint="eastAsia" w:ascii="宋体" w:hAnsi="宋体" w:cs="宋体"/>
                <w:color w:val="000000"/>
                <w:sz w:val="22"/>
              </w:rPr>
              <w:t>3</w:t>
            </w:r>
          </w:p>
        </w:tc>
        <w:tc>
          <w:tcPr>
            <w:tcW w:w="3786" w:type="dxa"/>
            <w:noWrap/>
            <w:vAlign w:val="center"/>
          </w:tcPr>
          <w:p>
            <w:pPr>
              <w:widowControl/>
              <w:jc w:val="left"/>
              <w:rPr>
                <w:rFonts w:ascii="宋体" w:hAnsi="宋体" w:cs="宋体"/>
                <w:color w:val="000000"/>
                <w:sz w:val="22"/>
              </w:rPr>
            </w:pPr>
            <w:r>
              <w:rPr>
                <w:rFonts w:hint="eastAsia" w:ascii="宋体" w:hAnsi="宋体" w:cs="宋体"/>
                <w:color w:val="000000"/>
                <w:sz w:val="22"/>
              </w:rPr>
              <w:t>　</w:t>
            </w:r>
          </w:p>
        </w:tc>
      </w:tr>
    </w:tbl>
    <w:p>
      <w:pPr>
        <w:pStyle w:val="7"/>
        <w:spacing w:line="600" w:lineRule="auto"/>
        <w:rPr>
          <w:rFonts w:hint="eastAsia" w:ascii="仿宋" w:hAnsi="仿宋" w:eastAsia="仿宋" w:cs="仿宋"/>
          <w:lang w:val="en-US" w:eastAsia="zh-CN"/>
        </w:rPr>
      </w:pPr>
    </w:p>
    <w:sectPr>
      <w:footerReference r:id="rId3" w:type="default"/>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8E0A"/>
    <w:multiLevelType w:val="multilevel"/>
    <w:tmpl w:val="B04D8E0A"/>
    <w:lvl w:ilvl="0" w:tentative="0">
      <w:start w:val="1"/>
      <w:numFmt w:val="chineseCounting"/>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13"/>
      <w:suff w:val="nothing"/>
      <w:lvlText w:val="%2、"/>
      <w:lvlJc w:val="left"/>
      <w:pPr>
        <w:ind w:left="0" w:firstLine="0"/>
      </w:pPr>
      <w:rPr>
        <w:rFonts w:hint="eastAsia" w:ascii="宋体" w:hAnsi="宋体" w:eastAsia="宋体" w:cs="宋体"/>
      </w:rPr>
    </w:lvl>
    <w:lvl w:ilvl="2" w:tentative="0">
      <w:start w:val="1"/>
      <w:numFmt w:val="chineseCounting"/>
      <w:suff w:val="nothing"/>
      <w:lvlText w:val="(%3)"/>
      <w:lvlJc w:val="left"/>
      <w:pPr>
        <w:tabs>
          <w:tab w:val="left" w:pos="0"/>
        </w:tabs>
        <w:ind w:left="0" w:firstLine="0"/>
      </w:pPr>
      <w:rPr>
        <w:rFonts w:hint="eastAsia" w:ascii="宋体" w:hAnsi="宋体" w:eastAsia="宋体" w:cs="宋体"/>
      </w:rPr>
    </w:lvl>
    <w:lvl w:ilvl="3" w:tentative="0">
      <w:start w:val="1"/>
      <w:numFmt w:val="decimal"/>
      <w:suff w:val="nothing"/>
      <w:lvlText w:val="%4."/>
      <w:lvlJc w:val="left"/>
      <w:pPr>
        <w:tabs>
          <w:tab w:val="left" w:pos="0"/>
        </w:tabs>
        <w:ind w:left="0" w:firstLine="0"/>
      </w:pPr>
      <w:rPr>
        <w:rFonts w:hint="eastAsia" w:ascii="宋体" w:hAnsi="宋体" w:eastAsia="宋体" w:cs="宋体"/>
      </w:rPr>
    </w:lvl>
    <w:lvl w:ilvl="4" w:tentative="0">
      <w:start w:val="1"/>
      <w:numFmt w:val="decimal"/>
      <w:suff w:val="nothing"/>
      <w:lvlText w:val="%4.%5"/>
      <w:lvlJc w:val="left"/>
      <w:pPr>
        <w:ind w:left="0" w:firstLine="0"/>
      </w:pPr>
      <w:rPr>
        <w:rFonts w:hint="eastAsia" w:ascii="宋体" w:hAnsi="宋体" w:eastAsia="宋体" w:cs="宋体"/>
      </w:rPr>
    </w:lvl>
    <w:lvl w:ilvl="5" w:tentative="0">
      <w:start w:val="1"/>
      <w:numFmt w:val="decimal"/>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59EB501D"/>
    <w:multiLevelType w:val="multilevel"/>
    <w:tmpl w:val="59EB50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hODZmNzU0YTk3OGQ0MGVjZDA4NzY3YjQ4Njc1NzkifQ=="/>
  </w:docVars>
  <w:rsids>
    <w:rsidRoot w:val="45E015D1"/>
    <w:rsid w:val="025014A6"/>
    <w:rsid w:val="0C5E7F54"/>
    <w:rsid w:val="0E6E662E"/>
    <w:rsid w:val="11B8232E"/>
    <w:rsid w:val="13034807"/>
    <w:rsid w:val="138B096F"/>
    <w:rsid w:val="15296C66"/>
    <w:rsid w:val="15D00A05"/>
    <w:rsid w:val="19C02B0F"/>
    <w:rsid w:val="19F65527"/>
    <w:rsid w:val="1A557BAF"/>
    <w:rsid w:val="1A977958"/>
    <w:rsid w:val="1CF86897"/>
    <w:rsid w:val="20ED496D"/>
    <w:rsid w:val="256626F3"/>
    <w:rsid w:val="32F90CB8"/>
    <w:rsid w:val="34E7396C"/>
    <w:rsid w:val="36597578"/>
    <w:rsid w:val="40CE3E1C"/>
    <w:rsid w:val="41034BBE"/>
    <w:rsid w:val="43E946BB"/>
    <w:rsid w:val="44EF73DE"/>
    <w:rsid w:val="45362B73"/>
    <w:rsid w:val="45E015D1"/>
    <w:rsid w:val="4B0D38FC"/>
    <w:rsid w:val="4B7D2797"/>
    <w:rsid w:val="4CC965B9"/>
    <w:rsid w:val="4E5230E8"/>
    <w:rsid w:val="4F454797"/>
    <w:rsid w:val="50781E13"/>
    <w:rsid w:val="532E70C9"/>
    <w:rsid w:val="53436C6B"/>
    <w:rsid w:val="56120FF0"/>
    <w:rsid w:val="5A57486D"/>
    <w:rsid w:val="5E6732B0"/>
    <w:rsid w:val="61235871"/>
    <w:rsid w:val="64AC6408"/>
    <w:rsid w:val="64D433B2"/>
    <w:rsid w:val="64E229B4"/>
    <w:rsid w:val="683A2FEE"/>
    <w:rsid w:val="6A1865D6"/>
    <w:rsid w:val="6A6651C1"/>
    <w:rsid w:val="70A9462A"/>
    <w:rsid w:val="71A34CAD"/>
    <w:rsid w:val="74ED319E"/>
    <w:rsid w:val="78DB3ABE"/>
    <w:rsid w:val="78F84246"/>
    <w:rsid w:val="7AA93EA7"/>
    <w:rsid w:val="7F5E6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lang w:val="en-US" w:eastAsia="zh-CN" w:bidi="ar-SA"/>
    </w:rPr>
  </w:style>
  <w:style w:type="paragraph" w:styleId="2">
    <w:name w:val="heading 1"/>
    <w:basedOn w:val="1"/>
    <w:next w:val="1"/>
    <w:qFormat/>
    <w:uiPriority w:val="99"/>
    <w:pPr>
      <w:keepNext/>
      <w:keepLines/>
      <w:spacing w:line="360" w:lineRule="auto"/>
      <w:outlineLvl w:val="0"/>
    </w:pPr>
    <w:rPr>
      <w:rFonts w:eastAsia="黑体"/>
      <w:kern w:val="44"/>
      <w:sz w:val="32"/>
    </w:rPr>
  </w:style>
  <w:style w:type="paragraph" w:styleId="3">
    <w:name w:val="heading 2"/>
    <w:basedOn w:val="1"/>
    <w:next w:val="1"/>
    <w:qFormat/>
    <w:uiPriority w:val="99"/>
    <w:pPr>
      <w:keepNext/>
      <w:keepLines/>
      <w:spacing w:before="260" w:after="260" w:line="416" w:lineRule="auto"/>
      <w:outlineLvl w:val="1"/>
    </w:pPr>
    <w:rPr>
      <w:rFonts w:ascii="Cambria" w:hAnsi="Cambria"/>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spacing w:after="120"/>
      <w:jc w:val="center"/>
    </w:pPr>
    <w:rPr>
      <w:rFonts w:ascii="Times New Roman" w:hAnsi="Times New Roman" w:eastAsia="仿宋_GB2312"/>
      <w:kern w:val="0"/>
      <w:sz w:val="30"/>
      <w:szCs w:val="24"/>
    </w:rPr>
  </w:style>
  <w:style w:type="paragraph" w:styleId="6">
    <w:name w:val="Body Text Indent"/>
    <w:basedOn w:val="1"/>
    <w:qFormat/>
    <w:uiPriority w:val="0"/>
    <w:pPr>
      <w:ind w:firstLine="630"/>
    </w:pPr>
    <w:rPr>
      <w:rFonts w:eastAsia="宋体"/>
      <w:sz w:val="32"/>
      <w:szCs w:val="20"/>
    </w:rPr>
  </w:style>
  <w:style w:type="paragraph" w:styleId="7">
    <w:name w:val="Body Text Indent 2"/>
    <w:basedOn w:val="1"/>
    <w:qFormat/>
    <w:uiPriority w:val="0"/>
    <w:pPr>
      <w:spacing w:after="120" w:line="480" w:lineRule="auto"/>
      <w:ind w:left="420" w:leftChars="200"/>
    </w:pPr>
  </w:style>
  <w:style w:type="paragraph" w:styleId="8">
    <w:name w:val="footer"/>
    <w:basedOn w:val="1"/>
    <w:qFormat/>
    <w:uiPriority w:val="99"/>
    <w:pPr>
      <w:tabs>
        <w:tab w:val="center" w:pos="4153"/>
        <w:tab w:val="right" w:pos="8306"/>
      </w:tabs>
      <w:snapToGrid w:val="0"/>
      <w:jc w:val="left"/>
    </w:pPr>
    <w:rPr>
      <w:rFonts w:hAnsi="Times New Roman"/>
      <w:kern w:val="0"/>
      <w:sz w:val="18"/>
      <w:szCs w:val="18"/>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样式"/>
    <w:qFormat/>
    <w:uiPriority w:val="0"/>
    <w:pPr>
      <w:widowControl w:val="0"/>
      <w:autoSpaceDE w:val="0"/>
      <w:autoSpaceDN w:val="0"/>
      <w:adjustRightInd w:val="0"/>
    </w:pPr>
    <w:rPr>
      <w:rFonts w:ascii="宋体" w:hAnsi="宋体" w:eastAsia="微软雅黑" w:cs="宋体"/>
      <w:sz w:val="24"/>
      <w:szCs w:val="24"/>
      <w:lang w:val="en-US" w:eastAsia="zh-CN" w:bidi="ar-SA"/>
    </w:rPr>
  </w:style>
  <w:style w:type="paragraph" w:customStyle="1" w:styleId="13">
    <w:name w:val="15、“一、”二级标题"/>
    <w:basedOn w:val="1"/>
    <w:qFormat/>
    <w:uiPriority w:val="0"/>
    <w:pPr>
      <w:numPr>
        <w:ilvl w:val="1"/>
        <w:numId w:val="1"/>
      </w:numPr>
      <w:tabs>
        <w:tab w:val="left" w:pos="0"/>
      </w:tabs>
      <w:wordWrap w:val="0"/>
      <w:topLinePunct/>
      <w:outlineLvl w:val="1"/>
    </w:pPr>
    <w:rPr>
      <w:b/>
    </w:rPr>
  </w:style>
  <w:style w:type="character" w:customStyle="1" w:styleId="14">
    <w:name w:val="font11"/>
    <w:basedOn w:val="11"/>
    <w:qFormat/>
    <w:uiPriority w:val="0"/>
    <w:rPr>
      <w:rFonts w:hint="eastAsia" w:ascii="宋体" w:hAnsi="宋体" w:eastAsia="宋体" w:cs="宋体"/>
      <w:color w:val="000000"/>
      <w:sz w:val="21"/>
      <w:szCs w:val="21"/>
      <w:u w:val="none"/>
    </w:rPr>
  </w:style>
  <w:style w:type="character" w:customStyle="1" w:styleId="15">
    <w:name w:val="font21"/>
    <w:basedOn w:val="11"/>
    <w:qFormat/>
    <w:uiPriority w:val="0"/>
    <w:rPr>
      <w:rFonts w:hint="default" w:ascii="Calibri" w:hAnsi="Calibri" w:cs="Calibri"/>
      <w:color w:val="000000"/>
      <w:sz w:val="21"/>
      <w:szCs w:val="21"/>
      <w:u w:val="none"/>
    </w:rPr>
  </w:style>
  <w:style w:type="character" w:customStyle="1" w:styleId="16">
    <w:name w:val="font31"/>
    <w:basedOn w:val="11"/>
    <w:qFormat/>
    <w:uiPriority w:val="0"/>
    <w:rPr>
      <w:rFonts w:hint="eastAsia" w:ascii="宋体" w:hAnsi="宋体" w:eastAsia="宋体" w:cs="宋体"/>
      <w:color w:val="000000"/>
      <w:sz w:val="18"/>
      <w:szCs w:val="18"/>
      <w:u w:val="none"/>
    </w:rPr>
  </w:style>
  <w:style w:type="table" w:customStyle="1" w:styleId="17">
    <w:name w:val="网格型13"/>
    <w:basedOn w:val="9"/>
    <w:qFormat/>
    <w:uiPriority w:val="59"/>
    <w:pPr>
      <w:widowControl w:val="0"/>
      <w:autoSpaceDE w:val="0"/>
      <w:autoSpaceDN w:val="0"/>
      <w:adjustRightInd w:val="0"/>
      <w:spacing w:line="360" w:lineRule="exact"/>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列出段落1"/>
    <w:basedOn w:val="1"/>
    <w:qFormat/>
    <w:uiPriority w:val="99"/>
    <w:pPr>
      <w:adjustRightInd w:val="0"/>
      <w:snapToGrid w:val="0"/>
      <w:spacing w:line="360" w:lineRule="auto"/>
      <w:ind w:firstLine="420" w:firstLineChars="200"/>
    </w:pPr>
    <w:rPr>
      <w:rFonts w:ascii="Calibri" w:hAnsi="Calibri"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2478</Words>
  <Characters>2569</Characters>
  <Lines>0</Lines>
  <Paragraphs>0</Paragraphs>
  <TotalTime>0</TotalTime>
  <ScaleCrop>false</ScaleCrop>
  <LinksUpToDate>false</LinksUpToDate>
  <CharactersWithSpaces>3123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2020-04-16T02:09:00Z</dcterms:created>
  <dc:creator>任俊颖</dc:creator>
  <cp:lastModifiedBy>Administrator</cp:lastModifiedBy>
  <cp:lastPrinted>2020-04-20T01:21:00Z</cp:lastPrinted>
  <dcterms:modified xsi:type="dcterms:W3CDTF">2023-10-30T08:24:31Z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4D16B4C473D04693AB3598BB43850F8A_13</vt:lpwstr>
  </property>
</Properties>
</file>