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rFonts w:hint="eastAsia"/>
          <w:b/>
          <w:sz w:val="36"/>
        </w:rPr>
        <w:t>大邑县人民医院</w:t>
      </w:r>
    </w:p>
    <w:p>
      <w:pPr>
        <w:jc w:val="center"/>
        <w:rPr>
          <w:rFonts w:hint="eastAsia" w:eastAsiaTheme="minorEastAsia"/>
          <w:b/>
          <w:sz w:val="36"/>
          <w:lang w:eastAsia="zh-CN"/>
        </w:rPr>
      </w:pPr>
      <w:r>
        <w:rPr>
          <w:rFonts w:hint="eastAsia"/>
          <w:b/>
          <w:sz w:val="36"/>
        </w:rPr>
        <w:t>直饮用水机设备项目采购</w:t>
      </w:r>
      <w:r>
        <w:rPr>
          <w:rFonts w:hint="eastAsia"/>
          <w:b/>
          <w:sz w:val="36"/>
          <w:lang w:eastAsia="zh-CN"/>
        </w:rPr>
        <w:t>需求及评分办法</w:t>
      </w:r>
    </w:p>
    <w:p>
      <w:pPr>
        <w:rPr>
          <w:b/>
          <w:sz w:val="28"/>
        </w:rPr>
      </w:pPr>
      <w:r>
        <w:rPr>
          <w:rFonts w:hint="eastAsia"/>
          <w:b/>
          <w:sz w:val="28"/>
          <w:lang w:eastAsia="zh-CN"/>
        </w:rPr>
        <w:t>一</w:t>
      </w:r>
      <w:r>
        <w:rPr>
          <w:rFonts w:hint="eastAsia"/>
          <w:b/>
          <w:sz w:val="28"/>
        </w:rPr>
        <w:t>、技术要求</w:t>
      </w:r>
    </w:p>
    <w:p>
      <w:pPr>
        <w:rPr>
          <w:sz w:val="28"/>
        </w:rPr>
      </w:pPr>
      <w:r>
        <w:rPr>
          <w:rFonts w:hint="eastAsia"/>
          <w:sz w:val="28"/>
        </w:rPr>
        <w:t>1、加热内胆≥13升，材质为304不锈钢（提供产品参数，若参数为负偏离则响应无效）；</w:t>
      </w:r>
    </w:p>
    <w:p>
      <w:pPr>
        <w:rPr>
          <w:sz w:val="28"/>
        </w:rPr>
      </w:pPr>
      <w:r>
        <w:rPr>
          <w:rFonts w:hint="eastAsia"/>
          <w:sz w:val="28"/>
        </w:rPr>
        <w:t>2、电源/功率：220V/50Hz，2KW（提供产品参数，若参数为负偏离则响应无效）；</w:t>
      </w:r>
    </w:p>
    <w:p>
      <w:pPr>
        <w:rPr>
          <w:sz w:val="28"/>
        </w:rPr>
      </w:pPr>
      <w:r>
        <w:rPr>
          <w:rFonts w:hint="eastAsia"/>
          <w:sz w:val="28"/>
        </w:rPr>
        <w:t>3、出水方式：两个龙头，旋转机械龙头出水，出温开水；</w:t>
      </w:r>
    </w:p>
    <w:p>
      <w:pPr>
        <w:rPr>
          <w:sz w:val="28"/>
        </w:rPr>
      </w:pPr>
      <w:r>
        <w:rPr>
          <w:rFonts w:hint="eastAsia"/>
          <w:sz w:val="28"/>
        </w:rPr>
        <w:t>4、外形尺寸（长×宽×高）：430x320x1230（±2%）；（提供产品参数，若参数为负偏离则响应无效）；</w:t>
      </w:r>
    </w:p>
    <w:p>
      <w:pPr>
        <w:rPr>
          <w:sz w:val="28"/>
        </w:rPr>
      </w:pPr>
      <w:r>
        <w:rPr>
          <w:rFonts w:hint="eastAsia"/>
          <w:sz w:val="28"/>
        </w:rPr>
        <w:t>5、接水水槽采用不锈钢整体模压成型，整体无焊点，经久耐用；</w:t>
      </w:r>
      <w:r>
        <w:rPr>
          <w:sz w:val="28"/>
        </w:rPr>
        <w:t xml:space="preserve"> </w:t>
      </w:r>
    </w:p>
    <w:p>
      <w:pPr>
        <w:rPr>
          <w:sz w:val="28"/>
        </w:rPr>
      </w:pPr>
      <w:r>
        <w:rPr>
          <w:rFonts w:hint="eastAsia"/>
          <w:sz w:val="28"/>
        </w:rPr>
        <w:t>6、过滤配置：不低于三级过滤（PP棉+活性炭+活性炭）（提供产品参数，若参数为负偏离则响应无效）；</w:t>
      </w:r>
    </w:p>
    <w:p>
      <w:pPr>
        <w:rPr>
          <w:sz w:val="28"/>
        </w:rPr>
      </w:pPr>
      <w:r>
        <w:rPr>
          <w:rFonts w:hint="eastAsia"/>
          <w:sz w:val="28"/>
        </w:rPr>
        <w:t>7、温开水安全要求：采用热交换器技术，热交换器内外管采用304不锈钢材质，（提供产品参数，若参数为负偏离则响应无效）；</w:t>
      </w:r>
    </w:p>
    <w:p>
      <w:pPr>
        <w:rPr>
          <w:sz w:val="28"/>
        </w:rPr>
      </w:pPr>
      <w:r>
        <w:rPr>
          <w:rFonts w:hint="eastAsia"/>
          <w:sz w:val="28"/>
        </w:rPr>
        <w:t>8、采用智能控制技术，中文显示屏可实时监测、显示工作、温度、时间等状态，自动故障检测及保障功能，（提供产品参数，若参数为负偏离则响应无效）；</w:t>
      </w:r>
    </w:p>
    <w:p>
      <w:pPr>
        <w:rPr>
          <w:sz w:val="28"/>
        </w:rPr>
      </w:pPr>
      <w:r>
        <w:rPr>
          <w:rFonts w:hint="eastAsia"/>
          <w:sz w:val="28"/>
        </w:rPr>
        <w:t>9、整机正面采用圆弧角设计，不得有尖锐菱角，防止意外碰伤事故；</w:t>
      </w:r>
    </w:p>
    <w:p>
      <w:pPr>
        <w:rPr>
          <w:b/>
          <w:sz w:val="28"/>
        </w:rPr>
      </w:pPr>
      <w:r>
        <w:rPr>
          <w:rFonts w:hint="eastAsia"/>
          <w:b/>
          <w:sz w:val="28"/>
          <w:lang w:eastAsia="zh-CN"/>
        </w:rPr>
        <w:t>二</w:t>
      </w:r>
      <w:r>
        <w:rPr>
          <w:rFonts w:hint="eastAsia"/>
          <w:b/>
          <w:sz w:val="28"/>
        </w:rPr>
        <w:t>、质保期</w:t>
      </w:r>
    </w:p>
    <w:p>
      <w:pPr>
        <w:rPr>
          <w:sz w:val="28"/>
        </w:rPr>
      </w:pPr>
      <w:r>
        <w:rPr>
          <w:rFonts w:hint="eastAsia"/>
          <w:sz w:val="28"/>
        </w:rPr>
        <w:t>质保期：一年。</w:t>
      </w:r>
    </w:p>
    <w:p>
      <w:pPr>
        <w:rPr>
          <w:sz w:val="28"/>
        </w:rPr>
      </w:pPr>
    </w:p>
    <w:p>
      <w:pPr>
        <w:rPr>
          <w:b/>
          <w:bCs/>
          <w:sz w:val="28"/>
        </w:rPr>
      </w:pPr>
      <w:r>
        <w:rPr>
          <w:rFonts w:hint="eastAsia"/>
          <w:b/>
          <w:bCs/>
          <w:sz w:val="28"/>
          <w:lang w:eastAsia="zh-CN"/>
        </w:rPr>
        <w:t>三、</w:t>
      </w:r>
      <w:r>
        <w:rPr>
          <w:b/>
          <w:bCs/>
          <w:sz w:val="28"/>
        </w:rPr>
        <w:t>评分细则</w:t>
      </w:r>
    </w:p>
    <w:tbl>
      <w:tblPr>
        <w:tblStyle w:val="4"/>
        <w:tblW w:w="8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276"/>
        <w:gridCol w:w="850"/>
        <w:gridCol w:w="4660"/>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pPr>
              <w:spacing w:line="360" w:lineRule="auto"/>
              <w:jc w:val="center"/>
              <w:rPr>
                <w:rFonts w:hAnsi="宋体"/>
                <w:b/>
                <w:bCs/>
                <w:color w:val="000000"/>
                <w:sz w:val="24"/>
                <w:szCs w:val="24"/>
              </w:rPr>
            </w:pPr>
            <w:r>
              <w:rPr>
                <w:rFonts w:hint="eastAsia" w:hAnsi="宋体"/>
                <w:b/>
                <w:bCs/>
                <w:color w:val="000000"/>
                <w:sz w:val="24"/>
                <w:szCs w:val="24"/>
              </w:rPr>
              <w:t>序号</w:t>
            </w:r>
          </w:p>
        </w:tc>
        <w:tc>
          <w:tcPr>
            <w:tcW w:w="1276" w:type="dxa"/>
            <w:vAlign w:val="center"/>
          </w:tcPr>
          <w:p>
            <w:pPr>
              <w:spacing w:line="360" w:lineRule="auto"/>
              <w:jc w:val="center"/>
              <w:rPr>
                <w:rFonts w:hAnsi="宋体"/>
                <w:b/>
                <w:bCs/>
                <w:color w:val="000000"/>
                <w:sz w:val="24"/>
                <w:szCs w:val="24"/>
              </w:rPr>
            </w:pPr>
            <w:r>
              <w:rPr>
                <w:rFonts w:hint="eastAsia" w:hAnsi="宋体"/>
                <w:b/>
                <w:bCs/>
                <w:color w:val="000000"/>
                <w:sz w:val="24"/>
                <w:szCs w:val="24"/>
              </w:rPr>
              <w:t>评分因素及权重</w:t>
            </w:r>
          </w:p>
        </w:tc>
        <w:tc>
          <w:tcPr>
            <w:tcW w:w="850" w:type="dxa"/>
            <w:vAlign w:val="center"/>
          </w:tcPr>
          <w:p>
            <w:pPr>
              <w:spacing w:line="360" w:lineRule="auto"/>
              <w:jc w:val="center"/>
              <w:rPr>
                <w:rFonts w:hAnsi="宋体"/>
                <w:b/>
                <w:bCs/>
                <w:color w:val="000000"/>
                <w:sz w:val="24"/>
                <w:szCs w:val="24"/>
              </w:rPr>
            </w:pPr>
            <w:r>
              <w:rPr>
                <w:rFonts w:hint="eastAsia" w:hAnsi="宋体"/>
                <w:b/>
                <w:bCs/>
                <w:color w:val="000000"/>
                <w:sz w:val="24"/>
                <w:szCs w:val="24"/>
              </w:rPr>
              <w:t>分值</w:t>
            </w:r>
          </w:p>
        </w:tc>
        <w:tc>
          <w:tcPr>
            <w:tcW w:w="4660" w:type="dxa"/>
            <w:vAlign w:val="center"/>
          </w:tcPr>
          <w:p>
            <w:pPr>
              <w:spacing w:line="360" w:lineRule="auto"/>
              <w:jc w:val="center"/>
              <w:rPr>
                <w:rFonts w:hAnsi="宋体"/>
                <w:b/>
                <w:bCs/>
                <w:color w:val="000000"/>
                <w:sz w:val="24"/>
                <w:szCs w:val="24"/>
              </w:rPr>
            </w:pPr>
            <w:r>
              <w:rPr>
                <w:rFonts w:hint="eastAsia" w:hAnsi="宋体"/>
                <w:b/>
                <w:bCs/>
                <w:color w:val="000000"/>
                <w:sz w:val="24"/>
                <w:szCs w:val="24"/>
              </w:rPr>
              <w:t>评分依据</w:t>
            </w:r>
          </w:p>
        </w:tc>
        <w:tc>
          <w:tcPr>
            <w:tcW w:w="830" w:type="dxa"/>
            <w:vAlign w:val="center"/>
          </w:tcPr>
          <w:p>
            <w:pPr>
              <w:spacing w:line="360" w:lineRule="auto"/>
              <w:jc w:val="center"/>
              <w:rPr>
                <w:rFonts w:hAnsi="宋体"/>
                <w:b/>
                <w:bCs/>
                <w:color w:val="000000"/>
                <w:sz w:val="24"/>
                <w:szCs w:val="24"/>
              </w:rPr>
            </w:pPr>
            <w:r>
              <w:rPr>
                <w:rFonts w:hint="eastAsia" w:hAnsi="宋体"/>
                <w:b/>
                <w:bCs/>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pPr>
              <w:spacing w:line="360" w:lineRule="auto"/>
              <w:jc w:val="center"/>
              <w:rPr>
                <w:rFonts w:hAnsi="宋体"/>
                <w:color w:val="000000"/>
                <w:sz w:val="24"/>
                <w:szCs w:val="24"/>
              </w:rPr>
            </w:pPr>
            <w:r>
              <w:rPr>
                <w:rFonts w:hint="eastAsia" w:hAnsi="宋体"/>
                <w:color w:val="000000"/>
                <w:sz w:val="24"/>
                <w:szCs w:val="24"/>
              </w:rPr>
              <w:t>1</w:t>
            </w:r>
          </w:p>
        </w:tc>
        <w:tc>
          <w:tcPr>
            <w:tcW w:w="1276" w:type="dxa"/>
            <w:vAlign w:val="center"/>
          </w:tcPr>
          <w:p>
            <w:pPr>
              <w:spacing w:line="360" w:lineRule="auto"/>
              <w:jc w:val="center"/>
              <w:rPr>
                <w:rFonts w:hAnsi="宋体"/>
                <w:sz w:val="24"/>
                <w:szCs w:val="24"/>
              </w:rPr>
            </w:pPr>
            <w:r>
              <w:rPr>
                <w:rFonts w:hint="eastAsia" w:hAnsi="宋体"/>
                <w:sz w:val="24"/>
                <w:szCs w:val="24"/>
              </w:rPr>
              <w:t>报价</w:t>
            </w:r>
            <w:r>
              <w:rPr>
                <w:rFonts w:hAnsi="宋体"/>
                <w:sz w:val="24"/>
                <w:szCs w:val="24"/>
              </w:rPr>
              <w:t>25%</w:t>
            </w:r>
          </w:p>
        </w:tc>
        <w:tc>
          <w:tcPr>
            <w:tcW w:w="850" w:type="dxa"/>
            <w:vAlign w:val="center"/>
          </w:tcPr>
          <w:p>
            <w:pPr>
              <w:spacing w:line="360" w:lineRule="auto"/>
              <w:jc w:val="center"/>
              <w:rPr>
                <w:rFonts w:hAnsi="宋体"/>
                <w:sz w:val="24"/>
                <w:szCs w:val="24"/>
              </w:rPr>
            </w:pPr>
            <w:r>
              <w:rPr>
                <w:rFonts w:hAnsi="宋体"/>
                <w:sz w:val="24"/>
                <w:szCs w:val="24"/>
              </w:rPr>
              <w:t>25</w:t>
            </w:r>
            <w:r>
              <w:rPr>
                <w:rFonts w:hint="eastAsia" w:hAnsi="宋体"/>
                <w:sz w:val="24"/>
                <w:szCs w:val="24"/>
              </w:rPr>
              <w:t>分</w:t>
            </w:r>
          </w:p>
        </w:tc>
        <w:tc>
          <w:tcPr>
            <w:tcW w:w="4660" w:type="dxa"/>
            <w:vAlign w:val="center"/>
          </w:tcPr>
          <w:p>
            <w:pPr>
              <w:spacing w:line="360" w:lineRule="auto"/>
              <w:rPr>
                <w:rFonts w:hAnsi="宋体"/>
                <w:sz w:val="24"/>
                <w:szCs w:val="24"/>
              </w:rPr>
            </w:pPr>
            <w:r>
              <w:rPr>
                <w:rFonts w:hint="eastAsia" w:hAnsi="宋体"/>
                <w:sz w:val="24"/>
                <w:szCs w:val="24"/>
              </w:rPr>
              <w:t>满足采购文件要求且最低的报价为评比基准价，其价格分为满分</w:t>
            </w:r>
            <w:r>
              <w:rPr>
                <w:rFonts w:hAnsi="宋体"/>
                <w:sz w:val="24"/>
                <w:szCs w:val="24"/>
              </w:rPr>
              <w:t>25</w:t>
            </w:r>
            <w:r>
              <w:rPr>
                <w:rFonts w:hint="eastAsia" w:hAnsi="宋体"/>
                <w:sz w:val="24"/>
                <w:szCs w:val="24"/>
              </w:rPr>
              <w:t>分。其他供应商的报价得分=（评比基准价/比选报价）×</w:t>
            </w:r>
            <w:r>
              <w:rPr>
                <w:rFonts w:hAnsi="宋体"/>
                <w:sz w:val="24"/>
                <w:szCs w:val="24"/>
              </w:rPr>
              <w:t>25</w:t>
            </w:r>
            <w:r>
              <w:rPr>
                <w:rFonts w:hint="eastAsia" w:hAnsi="宋体"/>
                <w:sz w:val="24"/>
                <w:szCs w:val="24"/>
              </w:rPr>
              <w:t>%×1</w:t>
            </w:r>
            <w:r>
              <w:rPr>
                <w:rFonts w:hAnsi="宋体"/>
                <w:sz w:val="24"/>
                <w:szCs w:val="24"/>
              </w:rPr>
              <w:t>00</w:t>
            </w:r>
            <w:r>
              <w:rPr>
                <w:rFonts w:hint="eastAsia" w:hAnsi="宋体"/>
                <w:sz w:val="24"/>
                <w:szCs w:val="24"/>
              </w:rPr>
              <w:t>。</w:t>
            </w:r>
          </w:p>
        </w:tc>
        <w:tc>
          <w:tcPr>
            <w:tcW w:w="830" w:type="dxa"/>
            <w:vAlign w:val="center"/>
          </w:tcPr>
          <w:p>
            <w:pPr>
              <w:spacing w:line="360" w:lineRule="auto"/>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pPr>
              <w:spacing w:line="360" w:lineRule="auto"/>
              <w:jc w:val="center"/>
              <w:rPr>
                <w:rFonts w:hAnsi="宋体"/>
                <w:color w:val="000000"/>
                <w:sz w:val="24"/>
                <w:szCs w:val="24"/>
              </w:rPr>
            </w:pPr>
            <w:r>
              <w:rPr>
                <w:rFonts w:hint="eastAsia" w:hAnsi="宋体"/>
                <w:color w:val="000000"/>
                <w:sz w:val="24"/>
                <w:szCs w:val="24"/>
              </w:rPr>
              <w:t>2</w:t>
            </w:r>
          </w:p>
        </w:tc>
        <w:tc>
          <w:tcPr>
            <w:tcW w:w="1276" w:type="dxa"/>
            <w:vAlign w:val="center"/>
          </w:tcPr>
          <w:p>
            <w:pPr>
              <w:spacing w:line="360" w:lineRule="auto"/>
              <w:jc w:val="center"/>
              <w:rPr>
                <w:rFonts w:hAnsi="宋体"/>
                <w:color w:val="000000"/>
                <w:sz w:val="24"/>
                <w:szCs w:val="24"/>
              </w:rPr>
            </w:pPr>
            <w:r>
              <w:rPr>
                <w:rFonts w:hAnsi="宋体"/>
                <w:color w:val="000000"/>
                <w:sz w:val="24"/>
                <w:szCs w:val="24"/>
              </w:rPr>
              <w:t>技术响应</w:t>
            </w:r>
            <w:r>
              <w:rPr>
                <w:rFonts w:hint="eastAsia" w:hAnsi="宋体"/>
                <w:color w:val="000000"/>
                <w:sz w:val="24"/>
                <w:szCs w:val="24"/>
              </w:rPr>
              <w:t>27%</w:t>
            </w:r>
          </w:p>
        </w:tc>
        <w:tc>
          <w:tcPr>
            <w:tcW w:w="850" w:type="dxa"/>
            <w:vAlign w:val="center"/>
          </w:tcPr>
          <w:p>
            <w:pPr>
              <w:spacing w:line="360" w:lineRule="auto"/>
              <w:jc w:val="center"/>
              <w:rPr>
                <w:rFonts w:hAnsi="宋体"/>
                <w:color w:val="000000"/>
                <w:sz w:val="24"/>
                <w:szCs w:val="24"/>
              </w:rPr>
            </w:pPr>
            <w:r>
              <w:rPr>
                <w:rFonts w:hint="eastAsia" w:hAnsi="宋体"/>
                <w:color w:val="000000"/>
                <w:sz w:val="24"/>
                <w:szCs w:val="24"/>
              </w:rPr>
              <w:t>27</w:t>
            </w:r>
            <w:r>
              <w:rPr>
                <w:rFonts w:hAnsi="宋体"/>
                <w:color w:val="000000"/>
                <w:sz w:val="24"/>
                <w:szCs w:val="24"/>
              </w:rPr>
              <w:t>分</w:t>
            </w:r>
          </w:p>
        </w:tc>
        <w:tc>
          <w:tcPr>
            <w:tcW w:w="4660" w:type="dxa"/>
            <w:vAlign w:val="center"/>
          </w:tcPr>
          <w:p>
            <w:pPr>
              <w:spacing w:line="360" w:lineRule="auto"/>
              <w:rPr>
                <w:rFonts w:hAnsi="宋体"/>
                <w:color w:val="000000"/>
                <w:sz w:val="24"/>
                <w:szCs w:val="24"/>
              </w:rPr>
            </w:pPr>
            <w:r>
              <w:rPr>
                <w:rFonts w:hint="eastAsia" w:hAnsi="宋体"/>
                <w:color w:val="000000"/>
                <w:sz w:val="24"/>
                <w:szCs w:val="24"/>
              </w:rPr>
              <w:t>根据技术参数要求响应情况，完全满足或优于技术参数要求的得满分27分；</w:t>
            </w:r>
          </w:p>
          <w:p>
            <w:pPr>
              <w:spacing w:line="360" w:lineRule="auto"/>
              <w:rPr>
                <w:rFonts w:hAnsi="宋体"/>
                <w:color w:val="000000"/>
                <w:sz w:val="24"/>
                <w:szCs w:val="24"/>
              </w:rPr>
            </w:pPr>
            <w:r>
              <w:rPr>
                <w:rFonts w:hint="eastAsia" w:hAnsi="宋体"/>
                <w:color w:val="000000"/>
                <w:sz w:val="24"/>
                <w:szCs w:val="24"/>
              </w:rPr>
              <w:t>1、加热内胆≥13升，材质为304不锈钢（提供投标产品整机《涉及饮用水卫生安全产品卫生许可批件》，其主要成分或部件须标明内胆容量和材质）；提供证明资料得3分;</w:t>
            </w:r>
          </w:p>
          <w:p>
            <w:pPr>
              <w:spacing w:line="360" w:lineRule="auto"/>
              <w:rPr>
                <w:rFonts w:hAnsi="宋体"/>
                <w:color w:val="000000"/>
                <w:sz w:val="24"/>
                <w:szCs w:val="24"/>
              </w:rPr>
            </w:pPr>
            <w:r>
              <w:rPr>
                <w:rFonts w:hint="eastAsia" w:hAnsi="宋体"/>
                <w:color w:val="000000"/>
                <w:sz w:val="24"/>
                <w:szCs w:val="24"/>
              </w:rPr>
              <w:t>2、电源/功率：220V/50Hz，2KW（提供与投标产品型号一致的整机CCC或CQC产品认证证书复印件，证件内须注明电源/功率）；提供证明资料得3分;</w:t>
            </w:r>
          </w:p>
          <w:p>
            <w:pPr>
              <w:spacing w:line="360" w:lineRule="auto"/>
              <w:rPr>
                <w:rFonts w:hAnsi="宋体"/>
                <w:color w:val="000000"/>
                <w:sz w:val="24"/>
                <w:szCs w:val="24"/>
              </w:rPr>
            </w:pPr>
            <w:r>
              <w:rPr>
                <w:rFonts w:hint="eastAsia" w:hAnsi="宋体"/>
                <w:color w:val="000000"/>
                <w:sz w:val="24"/>
                <w:szCs w:val="24"/>
              </w:rPr>
              <w:t>3、出水方式：两个龙头，旋转机械龙头出水，出温开水；提供证明资料得3分;</w:t>
            </w:r>
          </w:p>
          <w:p>
            <w:pPr>
              <w:spacing w:line="360" w:lineRule="auto"/>
              <w:rPr>
                <w:rFonts w:hAnsi="宋体"/>
                <w:sz w:val="24"/>
                <w:szCs w:val="24"/>
              </w:rPr>
            </w:pPr>
            <w:r>
              <w:rPr>
                <w:rFonts w:hint="eastAsia" w:hAnsi="宋体"/>
                <w:color w:val="000000"/>
                <w:sz w:val="24"/>
                <w:szCs w:val="24"/>
              </w:rPr>
              <w:t>4、外形尺寸（长×宽×高）：430x320x1230（±2%）；提供证明资料得3分</w:t>
            </w:r>
            <w:r>
              <w:rPr>
                <w:rFonts w:hint="eastAsia" w:hAnsi="宋体"/>
                <w:sz w:val="24"/>
                <w:szCs w:val="24"/>
              </w:rPr>
              <w:t>;</w:t>
            </w:r>
          </w:p>
          <w:p>
            <w:pPr>
              <w:spacing w:line="360" w:lineRule="auto"/>
              <w:rPr>
                <w:rFonts w:hAnsi="宋体"/>
                <w:color w:val="000000"/>
                <w:sz w:val="24"/>
                <w:szCs w:val="24"/>
              </w:rPr>
            </w:pPr>
            <w:r>
              <w:rPr>
                <w:rFonts w:hint="eastAsia" w:hAnsi="宋体"/>
                <w:color w:val="000000"/>
                <w:sz w:val="24"/>
                <w:szCs w:val="24"/>
              </w:rPr>
              <w:t>5、接水水槽采用不锈钢整体模压成型，整体无焊点，经久耐用；（提供检测报告）；提供证明资料得3分;</w:t>
            </w:r>
          </w:p>
          <w:p>
            <w:pPr>
              <w:spacing w:line="360" w:lineRule="auto"/>
              <w:rPr>
                <w:rFonts w:hAnsi="宋体"/>
                <w:color w:val="000000"/>
                <w:sz w:val="24"/>
                <w:szCs w:val="24"/>
              </w:rPr>
            </w:pPr>
            <w:r>
              <w:rPr>
                <w:rFonts w:hint="eastAsia" w:hAnsi="宋体"/>
                <w:color w:val="000000"/>
                <w:sz w:val="24"/>
                <w:szCs w:val="24"/>
              </w:rPr>
              <w:t>6、过滤配置：不低于三级过滤（PP棉+活性炭+活性炭）（提供投标产品整机《涉及饮用水卫生安全产品卫生许可批件》复印件）；提供证明资料得3分;</w:t>
            </w:r>
          </w:p>
          <w:p>
            <w:pPr>
              <w:spacing w:line="360" w:lineRule="auto"/>
              <w:rPr>
                <w:rFonts w:hAnsi="宋体"/>
                <w:color w:val="000000"/>
                <w:sz w:val="24"/>
                <w:szCs w:val="24"/>
              </w:rPr>
            </w:pPr>
            <w:r>
              <w:rPr>
                <w:rFonts w:hint="eastAsia" w:hAnsi="宋体"/>
                <w:color w:val="000000"/>
                <w:sz w:val="24"/>
                <w:szCs w:val="24"/>
              </w:rPr>
              <w:t>7、温开水安全要求：采用热交换器技术，热交换器内外管采用304不锈钢材质，提供投标产品制造商的热交换器的涉及饮用水卫生安全产品卫生许可批件；提供证明资料得3分;</w:t>
            </w:r>
          </w:p>
          <w:p>
            <w:pPr>
              <w:spacing w:line="360" w:lineRule="auto"/>
              <w:rPr>
                <w:rFonts w:hAnsi="宋体"/>
                <w:color w:val="000000"/>
                <w:sz w:val="24"/>
                <w:szCs w:val="24"/>
              </w:rPr>
            </w:pPr>
            <w:r>
              <w:rPr>
                <w:rFonts w:hint="eastAsia" w:hAnsi="宋体"/>
                <w:color w:val="000000"/>
                <w:sz w:val="24"/>
                <w:szCs w:val="24"/>
              </w:rPr>
              <w:t>8、采用智能控制技术，中文显示屏可实时监测、显示工作、温度、时间等状态，自动故障检测及保障功能，提供由省级或省级以上技术部门出具的智能控制板技术证书文件；提供证明资料得3分;</w:t>
            </w:r>
          </w:p>
          <w:p>
            <w:pPr>
              <w:spacing w:line="360" w:lineRule="auto"/>
              <w:rPr>
                <w:rFonts w:hAnsi="宋体"/>
                <w:color w:val="000000"/>
                <w:sz w:val="24"/>
                <w:szCs w:val="24"/>
              </w:rPr>
            </w:pPr>
            <w:r>
              <w:rPr>
                <w:rFonts w:hint="eastAsia" w:hAnsi="宋体"/>
                <w:color w:val="000000"/>
                <w:sz w:val="24"/>
                <w:szCs w:val="24"/>
              </w:rPr>
              <w:t>9、整机正面采用圆弧角设计，不得有尖锐菱角，防止意外碰伤事故，提供权威部门出具的外观技术证书文件；提供证明资料得3分。</w:t>
            </w:r>
          </w:p>
        </w:tc>
        <w:tc>
          <w:tcPr>
            <w:tcW w:w="830" w:type="dxa"/>
          </w:tcPr>
          <w:p>
            <w:pPr>
              <w:spacing w:line="360" w:lineRule="auto"/>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22" w:type="dxa"/>
            <w:vAlign w:val="center"/>
          </w:tcPr>
          <w:p>
            <w:pPr>
              <w:spacing w:line="360" w:lineRule="auto"/>
              <w:jc w:val="center"/>
              <w:rPr>
                <w:rFonts w:hAnsi="宋体"/>
                <w:color w:val="000000"/>
                <w:sz w:val="24"/>
                <w:szCs w:val="24"/>
              </w:rPr>
            </w:pPr>
            <w:r>
              <w:rPr>
                <w:rFonts w:hint="eastAsia" w:hAnsi="宋体"/>
                <w:color w:val="000000"/>
                <w:sz w:val="24"/>
                <w:szCs w:val="24"/>
              </w:rPr>
              <w:t>3</w:t>
            </w:r>
          </w:p>
        </w:tc>
        <w:tc>
          <w:tcPr>
            <w:tcW w:w="1276" w:type="dxa"/>
            <w:vAlign w:val="center"/>
          </w:tcPr>
          <w:p>
            <w:pPr>
              <w:spacing w:line="360" w:lineRule="auto"/>
              <w:jc w:val="center"/>
              <w:rPr>
                <w:rFonts w:hAnsi="宋体"/>
                <w:color w:val="000000"/>
                <w:sz w:val="24"/>
                <w:szCs w:val="24"/>
              </w:rPr>
            </w:pPr>
            <w:r>
              <w:rPr>
                <w:rFonts w:hint="eastAsia" w:hAnsi="宋体"/>
                <w:color w:val="000000"/>
                <w:sz w:val="24"/>
                <w:szCs w:val="24"/>
              </w:rPr>
              <w:t>产品责任险6%</w:t>
            </w:r>
          </w:p>
        </w:tc>
        <w:tc>
          <w:tcPr>
            <w:tcW w:w="850" w:type="dxa"/>
            <w:vAlign w:val="center"/>
          </w:tcPr>
          <w:p>
            <w:pPr>
              <w:spacing w:line="360" w:lineRule="auto"/>
              <w:jc w:val="center"/>
              <w:rPr>
                <w:rFonts w:hAnsi="宋体"/>
                <w:color w:val="000000"/>
                <w:sz w:val="24"/>
                <w:szCs w:val="24"/>
              </w:rPr>
            </w:pPr>
            <w:r>
              <w:rPr>
                <w:rFonts w:hint="eastAsia" w:hAnsi="宋体"/>
                <w:color w:val="000000"/>
                <w:sz w:val="24"/>
                <w:szCs w:val="24"/>
                <w:lang w:val="en-US" w:eastAsia="zh-CN"/>
              </w:rPr>
              <w:t>6</w:t>
            </w:r>
            <w:bookmarkStart w:id="0" w:name="_GoBack"/>
            <w:bookmarkEnd w:id="0"/>
            <w:r>
              <w:rPr>
                <w:rFonts w:hAnsi="宋体"/>
                <w:color w:val="000000"/>
                <w:sz w:val="24"/>
                <w:szCs w:val="24"/>
              </w:rPr>
              <w:t>分</w:t>
            </w:r>
          </w:p>
        </w:tc>
        <w:tc>
          <w:tcPr>
            <w:tcW w:w="4660" w:type="dxa"/>
            <w:vAlign w:val="center"/>
          </w:tcPr>
          <w:p>
            <w:pPr>
              <w:spacing w:line="360" w:lineRule="auto"/>
              <w:rPr>
                <w:rFonts w:hAnsi="宋体"/>
                <w:color w:val="000000"/>
                <w:sz w:val="24"/>
                <w:szCs w:val="24"/>
              </w:rPr>
            </w:pPr>
            <w:r>
              <w:rPr>
                <w:rFonts w:hint="eastAsia" w:hAnsi="宋体"/>
                <w:color w:val="000000"/>
                <w:sz w:val="24"/>
                <w:szCs w:val="24"/>
              </w:rPr>
              <w:t>所投产品制造商有效期内购买的产品责任险金额进行评分：</w:t>
            </w:r>
          </w:p>
          <w:p>
            <w:pPr>
              <w:spacing w:line="360" w:lineRule="auto"/>
              <w:rPr>
                <w:rFonts w:hAnsi="宋体"/>
                <w:color w:val="000000"/>
                <w:sz w:val="24"/>
                <w:szCs w:val="24"/>
              </w:rPr>
            </w:pPr>
            <w:r>
              <w:rPr>
                <w:rFonts w:hint="eastAsia" w:hAnsi="宋体"/>
                <w:color w:val="000000"/>
                <w:sz w:val="24"/>
                <w:szCs w:val="24"/>
              </w:rPr>
              <w:t>（1）100万≤每次事故赔偿金额＜200万，1000万≤累计事故赔偿金额＜3000万的，得1分；</w:t>
            </w:r>
          </w:p>
          <w:p>
            <w:pPr>
              <w:spacing w:line="360" w:lineRule="auto"/>
              <w:rPr>
                <w:rFonts w:hAnsi="宋体"/>
                <w:color w:val="000000"/>
                <w:sz w:val="24"/>
                <w:szCs w:val="24"/>
              </w:rPr>
            </w:pPr>
            <w:r>
              <w:rPr>
                <w:rFonts w:hint="eastAsia" w:hAnsi="宋体"/>
                <w:color w:val="000000"/>
                <w:sz w:val="24"/>
                <w:szCs w:val="24"/>
              </w:rPr>
              <w:t>（2）200万≤每次事故赔偿金额＜300万，3000万≤累计事故赔偿金额≤7000万的，得3分；</w:t>
            </w:r>
          </w:p>
          <w:p>
            <w:pPr>
              <w:spacing w:line="360" w:lineRule="auto"/>
              <w:rPr>
                <w:rFonts w:hAnsi="宋体"/>
                <w:color w:val="000000"/>
                <w:sz w:val="24"/>
                <w:szCs w:val="24"/>
              </w:rPr>
            </w:pPr>
            <w:r>
              <w:rPr>
                <w:rFonts w:hint="eastAsia" w:hAnsi="宋体"/>
                <w:color w:val="000000"/>
                <w:sz w:val="24"/>
                <w:szCs w:val="24"/>
              </w:rPr>
              <w:t>（3）300万≤每次事故赔偿金额，7000万＜累计事故赔偿金额得6分；</w:t>
            </w:r>
          </w:p>
          <w:p>
            <w:pPr>
              <w:spacing w:line="360" w:lineRule="auto"/>
              <w:rPr>
                <w:rFonts w:hAnsi="宋体"/>
                <w:color w:val="000000"/>
                <w:sz w:val="24"/>
                <w:szCs w:val="24"/>
              </w:rPr>
            </w:pPr>
            <w:r>
              <w:rPr>
                <w:rFonts w:hint="eastAsia" w:hAnsi="宋体"/>
                <w:color w:val="000000"/>
                <w:sz w:val="24"/>
                <w:szCs w:val="24"/>
              </w:rPr>
              <w:t>本项最高分6分。</w:t>
            </w:r>
          </w:p>
          <w:p>
            <w:pPr>
              <w:spacing w:line="360" w:lineRule="auto"/>
              <w:rPr>
                <w:rFonts w:hAnsi="宋体"/>
                <w:color w:val="000000"/>
                <w:sz w:val="24"/>
                <w:szCs w:val="24"/>
              </w:rPr>
            </w:pPr>
            <w:r>
              <w:rPr>
                <w:rFonts w:hint="eastAsia" w:hAnsi="宋体"/>
                <w:color w:val="000000"/>
                <w:sz w:val="24"/>
                <w:szCs w:val="24"/>
              </w:rPr>
              <w:t>注：投标文件中提供有效期内制造商所投产品责任险保单。</w:t>
            </w:r>
          </w:p>
        </w:tc>
        <w:tc>
          <w:tcPr>
            <w:tcW w:w="830" w:type="dxa"/>
          </w:tcPr>
          <w:p>
            <w:pPr>
              <w:spacing w:line="360" w:lineRule="auto"/>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pPr>
              <w:spacing w:line="360" w:lineRule="auto"/>
              <w:jc w:val="center"/>
              <w:rPr>
                <w:rFonts w:hAnsi="宋体"/>
                <w:color w:val="000000"/>
                <w:sz w:val="24"/>
                <w:szCs w:val="24"/>
              </w:rPr>
            </w:pPr>
            <w:r>
              <w:rPr>
                <w:rFonts w:hint="eastAsia" w:hAnsi="宋体"/>
                <w:color w:val="000000"/>
                <w:sz w:val="24"/>
                <w:szCs w:val="24"/>
              </w:rPr>
              <w:t>4</w:t>
            </w:r>
          </w:p>
        </w:tc>
        <w:tc>
          <w:tcPr>
            <w:tcW w:w="1276" w:type="dxa"/>
            <w:vAlign w:val="center"/>
          </w:tcPr>
          <w:p>
            <w:pPr>
              <w:spacing w:line="360" w:lineRule="auto"/>
              <w:jc w:val="center"/>
              <w:rPr>
                <w:rFonts w:hAnsi="宋体"/>
                <w:color w:val="000000"/>
                <w:sz w:val="24"/>
                <w:szCs w:val="24"/>
              </w:rPr>
            </w:pPr>
            <w:r>
              <w:rPr>
                <w:rFonts w:hint="eastAsia" w:hAnsi="宋体"/>
                <w:color w:val="000000"/>
                <w:sz w:val="24"/>
                <w:szCs w:val="24"/>
              </w:rPr>
              <w:t>售后服务3</w:t>
            </w:r>
            <w:r>
              <w:rPr>
                <w:rFonts w:hAnsi="宋体"/>
                <w:color w:val="000000"/>
                <w:sz w:val="24"/>
                <w:szCs w:val="24"/>
              </w:rPr>
              <w:t>0</w:t>
            </w:r>
            <w:r>
              <w:rPr>
                <w:rFonts w:hint="eastAsia" w:hAnsi="宋体"/>
                <w:color w:val="000000"/>
                <w:sz w:val="24"/>
                <w:szCs w:val="24"/>
              </w:rPr>
              <w:t>%</w:t>
            </w:r>
          </w:p>
        </w:tc>
        <w:tc>
          <w:tcPr>
            <w:tcW w:w="850" w:type="dxa"/>
            <w:vAlign w:val="center"/>
          </w:tcPr>
          <w:p>
            <w:pPr>
              <w:spacing w:line="360" w:lineRule="auto"/>
              <w:jc w:val="center"/>
              <w:rPr>
                <w:rFonts w:hAnsi="宋体"/>
                <w:color w:val="000000"/>
                <w:sz w:val="24"/>
                <w:szCs w:val="24"/>
              </w:rPr>
            </w:pPr>
            <w:r>
              <w:rPr>
                <w:rFonts w:hAnsi="宋体"/>
                <w:color w:val="000000"/>
                <w:sz w:val="24"/>
                <w:szCs w:val="24"/>
              </w:rPr>
              <w:t>30分</w:t>
            </w:r>
          </w:p>
        </w:tc>
        <w:tc>
          <w:tcPr>
            <w:tcW w:w="4660" w:type="dxa"/>
            <w:vAlign w:val="center"/>
          </w:tcPr>
          <w:p>
            <w:pPr>
              <w:spacing w:line="360" w:lineRule="auto"/>
              <w:rPr>
                <w:rFonts w:hAnsi="宋体"/>
                <w:color w:val="000000"/>
                <w:sz w:val="24"/>
                <w:szCs w:val="24"/>
              </w:rPr>
            </w:pPr>
            <w:r>
              <w:rPr>
                <w:rFonts w:hint="eastAsia" w:hAnsi="宋体"/>
                <w:color w:val="000000"/>
                <w:sz w:val="24"/>
                <w:szCs w:val="24"/>
              </w:rPr>
              <w:t>供应商需为本项目提供售后服务方案，方案包括：①售后服务体系，②售后服务保障措施，③售后服务优势，④备货方案，⑤售后响应时间。方案合理，针对性强，逻辑条理清晰、内容详尽、完全满足项目要求的得30分，每有1项缺项扣6分，每有一项内容不详尽、内容粗略、对本项目针对性不强、方案有逻辑性问题的扣3分，直至本项扣完为止。</w:t>
            </w:r>
          </w:p>
        </w:tc>
        <w:tc>
          <w:tcPr>
            <w:tcW w:w="830" w:type="dxa"/>
            <w:vAlign w:val="center"/>
          </w:tcPr>
          <w:p>
            <w:pPr>
              <w:spacing w:line="360" w:lineRule="auto"/>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pPr>
              <w:spacing w:line="360" w:lineRule="auto"/>
              <w:jc w:val="center"/>
              <w:rPr>
                <w:rFonts w:hAnsi="宋体"/>
                <w:color w:val="000000"/>
                <w:sz w:val="24"/>
                <w:szCs w:val="24"/>
              </w:rPr>
            </w:pPr>
            <w:r>
              <w:rPr>
                <w:rFonts w:hint="eastAsia" w:hAnsi="宋体"/>
                <w:color w:val="000000"/>
                <w:sz w:val="24"/>
                <w:szCs w:val="24"/>
              </w:rPr>
              <w:t>5</w:t>
            </w:r>
          </w:p>
        </w:tc>
        <w:tc>
          <w:tcPr>
            <w:tcW w:w="1276" w:type="dxa"/>
            <w:vAlign w:val="center"/>
          </w:tcPr>
          <w:p>
            <w:pPr>
              <w:spacing w:line="360" w:lineRule="auto"/>
              <w:jc w:val="center"/>
              <w:rPr>
                <w:rFonts w:hAnsi="宋体"/>
                <w:color w:val="000000"/>
                <w:sz w:val="24"/>
                <w:szCs w:val="24"/>
              </w:rPr>
            </w:pPr>
            <w:r>
              <w:rPr>
                <w:rFonts w:hint="eastAsia" w:hAnsi="宋体"/>
                <w:color w:val="000000"/>
                <w:sz w:val="24"/>
                <w:szCs w:val="24"/>
              </w:rPr>
              <w:t>履约能力12%</w:t>
            </w:r>
          </w:p>
        </w:tc>
        <w:tc>
          <w:tcPr>
            <w:tcW w:w="850" w:type="dxa"/>
            <w:vAlign w:val="center"/>
          </w:tcPr>
          <w:p>
            <w:pPr>
              <w:spacing w:line="360" w:lineRule="auto"/>
              <w:jc w:val="center"/>
              <w:rPr>
                <w:rFonts w:hAnsi="宋体"/>
                <w:color w:val="000000"/>
                <w:sz w:val="24"/>
                <w:szCs w:val="24"/>
              </w:rPr>
            </w:pPr>
            <w:r>
              <w:rPr>
                <w:rFonts w:hint="eastAsia" w:hAnsi="宋体"/>
                <w:color w:val="000000"/>
                <w:sz w:val="24"/>
                <w:szCs w:val="24"/>
              </w:rPr>
              <w:t>12</w:t>
            </w:r>
            <w:r>
              <w:rPr>
                <w:rFonts w:hAnsi="宋体"/>
                <w:color w:val="000000"/>
                <w:sz w:val="24"/>
                <w:szCs w:val="24"/>
              </w:rPr>
              <w:t>分</w:t>
            </w:r>
          </w:p>
        </w:tc>
        <w:tc>
          <w:tcPr>
            <w:tcW w:w="4660" w:type="dxa"/>
            <w:vAlign w:val="center"/>
          </w:tcPr>
          <w:p>
            <w:pPr>
              <w:spacing w:line="360" w:lineRule="auto"/>
              <w:rPr>
                <w:rFonts w:hAnsi="宋体"/>
                <w:color w:val="000000"/>
                <w:sz w:val="24"/>
                <w:szCs w:val="24"/>
              </w:rPr>
            </w:pPr>
            <w:r>
              <w:rPr>
                <w:rFonts w:hint="eastAsia" w:hAnsi="宋体"/>
                <w:color w:val="000000"/>
                <w:sz w:val="24"/>
                <w:szCs w:val="24"/>
              </w:rPr>
              <w:t>供应商自2018年1月1日以来，每有一个类似项目业绩得6分，最多得12分。（提供合同或中标（成交）通知书复印件）</w:t>
            </w:r>
          </w:p>
        </w:tc>
        <w:tc>
          <w:tcPr>
            <w:tcW w:w="830" w:type="dxa"/>
            <w:vAlign w:val="center"/>
          </w:tcPr>
          <w:p>
            <w:pPr>
              <w:spacing w:line="360" w:lineRule="auto"/>
              <w:rPr>
                <w:rFonts w:hAnsi="宋体"/>
                <w:color w:val="000000"/>
                <w:sz w:val="24"/>
                <w:szCs w:val="24"/>
              </w:rPr>
            </w:pPr>
          </w:p>
        </w:tc>
      </w:tr>
    </w:tbl>
    <w:p>
      <w:pPr>
        <w:rPr>
          <w:sz w:val="28"/>
        </w:rPr>
      </w:pPr>
    </w:p>
    <w:p>
      <w:pPr>
        <w:rPr>
          <w:sz w:val="28"/>
        </w:rPr>
      </w:pPr>
    </w:p>
    <w:p>
      <w:pPr>
        <w:rPr>
          <w:sz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zOTM5N2Q1NjA2NWY3MGNiM2EyODJiY2YwZDg2ODUifQ=="/>
  </w:docVars>
  <w:rsids>
    <w:rsidRoot w:val="00582A72"/>
    <w:rsid w:val="000F660C"/>
    <w:rsid w:val="00175649"/>
    <w:rsid w:val="002A23FD"/>
    <w:rsid w:val="00332124"/>
    <w:rsid w:val="00353315"/>
    <w:rsid w:val="00362A7D"/>
    <w:rsid w:val="003E11F4"/>
    <w:rsid w:val="00582A72"/>
    <w:rsid w:val="0059329B"/>
    <w:rsid w:val="00692E07"/>
    <w:rsid w:val="006F7B09"/>
    <w:rsid w:val="00797C28"/>
    <w:rsid w:val="009E6F88"/>
    <w:rsid w:val="00A363DC"/>
    <w:rsid w:val="00B91E0E"/>
    <w:rsid w:val="00BA285E"/>
    <w:rsid w:val="00E40E96"/>
    <w:rsid w:val="00E42FF5"/>
    <w:rsid w:val="00EC1CA8"/>
    <w:rsid w:val="00F65D37"/>
    <w:rsid w:val="00FB0B69"/>
    <w:rsid w:val="00FF08DE"/>
    <w:rsid w:val="0AD0721D"/>
    <w:rsid w:val="2F5B13E7"/>
    <w:rsid w:val="4F0D18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1688</Words>
  <Characters>1798</Characters>
  <Lines>13</Lines>
  <Paragraphs>3</Paragraphs>
  <TotalTime>133</TotalTime>
  <ScaleCrop>false</ScaleCrop>
  <LinksUpToDate>false</LinksUpToDate>
  <CharactersWithSpaces>1799</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2023-12-05T05:59:00Z</dcterms:created>
  <dc:creator>Windows 用户</dc:creator>
  <cp:lastModifiedBy>zx</cp:lastModifiedBy>
  <cp:lastPrinted>2023-12-05T08:34:00Z</cp:lastPrinted>
  <dcterms:modified xsi:type="dcterms:W3CDTF">2023-12-06T01:37:50Z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5798AA75D94644E38C2D3B6111074C8E_12</vt:lpwstr>
  </property>
</Properties>
</file>