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污水处理余氯在线监测服务综合评分明细表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及技术参数</w:t>
      </w:r>
    </w:p>
    <w:p>
      <w:pPr>
        <w:pStyle w:val="4"/>
        <w:keepNext w:val="0"/>
        <w:keepLines w:val="0"/>
        <w:spacing w:before="0" w:after="0" w:line="400" w:lineRule="exact"/>
        <w:jc w:val="center"/>
        <w:rPr>
          <w:rFonts w:hint="eastAsia" w:ascii="宋体" w:hAnsi="宋体" w:eastAsia="宋体"/>
          <w:b w:val="0"/>
          <w:sz w:val="24"/>
          <w:szCs w:val="24"/>
        </w:rPr>
      </w:pPr>
    </w:p>
    <w:tbl>
      <w:tblPr>
        <w:tblStyle w:val="9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88"/>
        <w:gridCol w:w="78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</w:rPr>
              <w:t>评分因素及权重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</w:rPr>
              <w:t>分值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报价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10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10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以满足比选文件要求且报价最低的为基价，报价得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分=（基准报价／投标报价）×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0%×100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技术性能和指标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851"/>
              </w:tabs>
              <w:spacing w:line="400" w:lineRule="exact"/>
              <w:jc w:val="left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完全符合比选文件技术要求得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分；技术参数及要求低于比选文件要求的，每一项达不到要求扣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分，直至该项分值扣完为止。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项目实施方案20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default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bookmarkStart w:id="1" w:name="_GoBack"/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根据供应商针对本项目提供的实施方案（包括但不限于质量保障措施、项目管理方案、实施进度计划、各阶段进度的保证措施、安装调试方案、响应时间、服务承诺及培训方案、人员分工安排、产品运输车辆安排、路线安排、突发情况分析和应对等）进行综合评审，满足或优于比选要求的得20分，有一项内容缺失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不可行或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各项措施不具体每项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扣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2分，扣完为止。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运行维护方案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28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default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28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left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1、供应商根据项目情况提供运行维护方案。根据竞标人提供运行维护的年限、维护方式、人员安排、车辆安排等综合评价， 满足比选要求的得13分，有一项内容缺失或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不可行扣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2分，扣完为止。</w:t>
            </w:r>
          </w:p>
          <w:p>
            <w:pPr>
              <w:tabs>
                <w:tab w:val="left" w:pos="851"/>
              </w:tabs>
              <w:spacing w:line="400" w:lineRule="exact"/>
              <w:jc w:val="left"/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2、根据供应商提供售后服务计划或方案情况、服务电话设置、响应时间、售后服务队伍人员情况、产品保质期限等综合评分，满足比选要求的得15分；有一项内容缺失或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eastAsia="zh-CN"/>
              </w:rPr>
              <w:t>不可行或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各项措施不具体每项扣2分，扣完为止。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人员配置</w:t>
            </w:r>
          </w:p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8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8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投标人为本项目配备的售后服务人员中，具有设施运行人员考试合格证书（自动监环境污染治理控（水）运行工）的，每有 1 人得1分，最多得 5分（注：提供环境污染治理设施运行人员考试合格证书）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具有中国环境监测总站—全国环境监测人员培训合格证书的，每有1人得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1</w:t>
            </w:r>
            <w:r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分，最多得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3</w:t>
            </w:r>
            <w:r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分。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（注：提供</w:t>
            </w:r>
            <w:r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全国环境监测人员培训合格证书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综合实力</w:t>
            </w:r>
          </w:p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12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12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  <w:t>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1、投标人具有《自动监控系统(水)一级》一级以上得3分，二级得1分，没有不得分。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2、投标人同时具有质量管理体系认证、环境管理体系认证、职业健康安全管理体系得2分；差一个不得分。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5、投标人具有安全生产许可证得2分。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6、投标人具有高新技术企业证书得2分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7、投标人具有四川省环境污染防治工程等级确认证书-环境在线甲级得3分，乙级的1分。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default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投标人实际履约能力评价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center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2分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left"/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投标人提供的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18"/>
                <w:lang w:val="en-US" w:eastAsia="zh-CN"/>
              </w:rPr>
              <w:t>2020</w:t>
            </w:r>
            <w:r>
              <w:rPr>
                <w:rFonts w:hint="eastAsia" w:hAnsi="宋体"/>
                <w:b w:val="0"/>
                <w:bCs/>
                <w:color w:val="000000"/>
                <w:sz w:val="22"/>
                <w:szCs w:val="18"/>
                <w:lang w:val="en-US" w:eastAsia="zh-CN"/>
              </w:rPr>
              <w:t>年至今类似业绩，每提供一个业绩证明得 1 分，最高得2分。提供合同或中标通知书扫描件（加盖投标人公章）。</w:t>
            </w:r>
          </w:p>
        </w:tc>
      </w:tr>
    </w:tbl>
    <w:p>
      <w:pPr>
        <w:tabs>
          <w:tab w:val="left" w:pos="851"/>
        </w:tabs>
        <w:spacing w:line="400" w:lineRule="exact"/>
        <w:rPr>
          <w:rFonts w:hint="eastAsia" w:hAnsi="宋体"/>
          <w:b/>
          <w:color w:val="000000"/>
          <w:sz w:val="24"/>
        </w:rPr>
      </w:pPr>
    </w:p>
    <w:p>
      <w:pPr>
        <w:spacing w:line="360" w:lineRule="auto"/>
        <w:jc w:val="left"/>
        <w:rPr>
          <w:rFonts w:hint="eastAsia" w:hAnsi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hAnsi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 w:hAnsi="宋体"/>
          <w:b/>
          <w:bCs/>
          <w:sz w:val="24"/>
        </w:rPr>
      </w:pPr>
    </w:p>
    <w:p>
      <w:pPr>
        <w:rPr>
          <w:rFonts w:hint="eastAsia" w:hAnsi="宋体"/>
          <w:b/>
          <w:bCs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本项目的核心产品为</w:t>
      </w:r>
      <w:r>
        <w:rPr>
          <w:rFonts w:hint="eastAsia" w:hAnsi="宋体"/>
          <w:b/>
          <w:bCs/>
          <w:sz w:val="32"/>
          <w:szCs w:val="32"/>
          <w:lang w:eastAsia="zh-CN"/>
        </w:rPr>
        <w:t>余氯在线监测仪</w:t>
      </w:r>
    </w:p>
    <w:tbl>
      <w:tblPr>
        <w:tblStyle w:val="9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2"/>
        <w:gridCol w:w="5960"/>
        <w:gridCol w:w="71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Ansi="宋体"/>
                <w:sz w:val="24"/>
                <w:szCs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名称</w:t>
            </w:r>
          </w:p>
        </w:tc>
        <w:tc>
          <w:tcPr>
            <w:tcW w:w="5960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技术参数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数量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2"/>
                <w:lang w:eastAsia="zh-CN"/>
              </w:rPr>
              <w:t>余氯在线监测仪</w:t>
            </w:r>
          </w:p>
        </w:tc>
        <w:tc>
          <w:tcPr>
            <w:tcW w:w="5960" w:type="dxa"/>
            <w:noWrap w:val="0"/>
            <w:vAlign w:val="center"/>
          </w:tcPr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测量范围:0 20mg/L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分辨率: 0.01 mg/L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示值误差:≤士0. 5mg/L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重复性:士0.3mg/L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零点漂移:士0.3 mg/L .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量程漂移: +0.3 mg/L 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环境温度: -20 ~50C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相对湿度: (75士10) %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模拟输出: 4 20mA、负载7500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开关输出: 2 路继电器,容量220VAC/5A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通信输出: RS485 (可选)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显示方式: LCD 液晶显示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供电电源: AC220V士 10%或DC24V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电源频率: (50士0.5) Hz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防护等级:IP65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材质: POM和不锈钢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配线:屏蔽线缆10m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安装方式:没没式、流通式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安装尺寸: 3/4NPT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介质温度: 0^ 60C (无凝结)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防护等级:IP68</w:t>
            </w:r>
          </w:p>
          <w:p>
            <w:pPr>
              <w:tabs>
                <w:tab w:val="left" w:pos="851"/>
              </w:tabs>
              <w:spacing w:line="40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hint="eastAsia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hAnsi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hAnsi="宋体"/>
                <w:sz w:val="24"/>
                <w:szCs w:val="22"/>
              </w:rPr>
            </w:pPr>
            <w:r>
              <w:rPr>
                <w:rFonts w:hint="eastAsia" w:hAnsi="宋体"/>
                <w:sz w:val="24"/>
                <w:szCs w:val="22"/>
              </w:rPr>
              <w:t>套</w:t>
            </w:r>
          </w:p>
        </w:tc>
      </w:tr>
    </w:tbl>
    <w:p>
      <w:pPr>
        <w:pStyle w:val="2"/>
        <w:rPr>
          <w:rFonts w:hint="eastAsia" w:hAnsi="宋体"/>
          <w:b/>
          <w:bCs/>
          <w:sz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numPr>
          <w:ilvl w:val="0"/>
          <w:numId w:val="0"/>
        </w:numPr>
        <w:tabs>
          <w:tab w:val="left" w:pos="3785"/>
          <w:tab w:val="left" w:pos="5080"/>
        </w:tabs>
        <w:autoSpaceDE w:val="0"/>
        <w:autoSpaceDN w:val="0"/>
        <w:adjustRightInd w:val="0"/>
        <w:spacing w:before="156" w:beforeLines="50" w:after="156" w:afterLines="50" w:line="360" w:lineRule="auto"/>
        <w:ind w:right="-23" w:rightChars="0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  <w:szCs w:val="22"/>
          <w:lang w:val="zh-CN"/>
        </w:rPr>
      </w:pPr>
      <w:bookmarkStart w:id="0" w:name="_Toc13778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AAEC"/>
    <w:multiLevelType w:val="singleLevel"/>
    <w:tmpl w:val="6DA1AA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BmMGY4YzFlYmE2NTdlN2MxZWI2ZTRjODczNzkifQ=="/>
  </w:docVars>
  <w:rsids>
    <w:rsidRoot w:val="00000000"/>
    <w:rsid w:val="00BC46C7"/>
    <w:rsid w:val="016C78EA"/>
    <w:rsid w:val="059623AC"/>
    <w:rsid w:val="07087303"/>
    <w:rsid w:val="0B450F91"/>
    <w:rsid w:val="0DC51F5B"/>
    <w:rsid w:val="11CA27DE"/>
    <w:rsid w:val="1220089F"/>
    <w:rsid w:val="130D5CF4"/>
    <w:rsid w:val="1FA060F1"/>
    <w:rsid w:val="22836C59"/>
    <w:rsid w:val="26782EDF"/>
    <w:rsid w:val="2C9F101A"/>
    <w:rsid w:val="314A7F37"/>
    <w:rsid w:val="344A06CE"/>
    <w:rsid w:val="35BA5150"/>
    <w:rsid w:val="36282425"/>
    <w:rsid w:val="371A0119"/>
    <w:rsid w:val="372D6DD4"/>
    <w:rsid w:val="37725569"/>
    <w:rsid w:val="3A484C29"/>
    <w:rsid w:val="3A993786"/>
    <w:rsid w:val="3C9F2886"/>
    <w:rsid w:val="3DA852CC"/>
    <w:rsid w:val="3DC0664E"/>
    <w:rsid w:val="3EEB7FCB"/>
    <w:rsid w:val="44A649E5"/>
    <w:rsid w:val="44D93D32"/>
    <w:rsid w:val="459B1963"/>
    <w:rsid w:val="48055E2F"/>
    <w:rsid w:val="4A74265D"/>
    <w:rsid w:val="4CA73908"/>
    <w:rsid w:val="4CD72F32"/>
    <w:rsid w:val="51F46361"/>
    <w:rsid w:val="550E5217"/>
    <w:rsid w:val="56B46773"/>
    <w:rsid w:val="56BD6911"/>
    <w:rsid w:val="592538A5"/>
    <w:rsid w:val="5B844296"/>
    <w:rsid w:val="64122545"/>
    <w:rsid w:val="64422535"/>
    <w:rsid w:val="6CB24DE5"/>
    <w:rsid w:val="6D4F6071"/>
    <w:rsid w:val="6FE34974"/>
    <w:rsid w:val="73534918"/>
    <w:rsid w:val="73AF2344"/>
    <w:rsid w:val="74F22EFB"/>
    <w:rsid w:val="765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宋体" w:eastAsia="宋体"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sz w:val="24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Arial" w:hAnsi="Arial" w:cs="宋体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1820</Words>
  <Characters>2001</Characters>
  <Lines>0</Lines>
  <Paragraphs>0</Paragraphs>
  <TotalTime>187</TotalTime>
  <ScaleCrop>false</ScaleCrop>
  <LinksUpToDate>false</LinksUpToDate>
  <CharactersWithSpaces>2028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2022-04-20T02:11:00Z</dcterms:created>
  <dc:creator>Administrator</dc:creator>
  <cp:lastModifiedBy>Administrator</cp:lastModifiedBy>
  <dcterms:modified xsi:type="dcterms:W3CDTF">2024-01-17T08:04:07Z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B85F0A83CA4F472F865738F02BAA1853_13</vt:lpwstr>
  </property>
</Properties>
</file>