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方正小标宋简体" w:hAnsi="方正小标宋简体" w:eastAsia="方正小标宋简体" w:cs="方正小标宋简体"/>
          <w:b w:val="0"/>
          <w:bCs w:val="0"/>
          <w:i w:val="0"/>
          <w:iCs w:val="0"/>
          <w:caps w:val="0"/>
          <w:color w:val="000000"/>
          <w:spacing w:val="0"/>
          <w:sz w:val="36"/>
          <w:szCs w:val="36"/>
        </w:rPr>
      </w:pPr>
      <w:r>
        <w:rPr>
          <w:rFonts w:hint="eastAsia" w:ascii="方正小标宋简体" w:hAnsi="方正小标宋简体" w:eastAsia="方正小标宋简体" w:cs="方正小标宋简体"/>
          <w:b w:val="0"/>
          <w:bCs w:val="0"/>
          <w:i w:val="0"/>
          <w:iCs w:val="0"/>
          <w:caps w:val="0"/>
          <w:color w:val="000000"/>
          <w:spacing w:val="0"/>
          <w:kern w:val="0"/>
          <w:sz w:val="36"/>
          <w:szCs w:val="36"/>
          <w:shd w:val="clear" w:fill="FFFFFF"/>
          <w:lang w:val="en-US" w:eastAsia="zh-CN" w:bidi="ar"/>
        </w:rPr>
        <w:t>采购项目服务及其他商务要求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eastAsia" w:ascii="仿宋_GB2312" w:hAnsi="仿宋_GB2312" w:eastAsia="仿宋_GB2312" w:cs="仿宋_GB2312"/>
          <w:i w:val="0"/>
          <w:iCs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560" w:firstLineChars="200"/>
        <w:jc w:val="left"/>
        <w:rPr>
          <w:rFonts w:hint="eastAsia" w:ascii="仿宋_GB2312" w:hAnsi="仿宋_GB2312" w:eastAsia="仿宋_GB2312" w:cs="仿宋_GB2312"/>
          <w:i w:val="0"/>
          <w:iCs w:val="0"/>
          <w:caps w:val="0"/>
          <w:color w:val="000000"/>
          <w:spacing w:val="0"/>
          <w:kern w:val="0"/>
          <w:sz w:val="28"/>
          <w:szCs w:val="28"/>
          <w:shd w:val="clear" w:fill="FFFFFF"/>
          <w:lang w:val="en-US" w:eastAsia="zh-CN" w:bidi="ar"/>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（一）交货时间和地点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560" w:firstLineChars="200"/>
        <w:jc w:val="left"/>
        <w:rPr>
          <w:rFonts w:hint="eastAsia" w:ascii="仿宋_GB2312" w:hAnsi="仿宋_GB2312" w:eastAsia="仿宋_GB2312" w:cs="仿宋_GB2312"/>
          <w:i w:val="0"/>
          <w:iCs w:val="0"/>
          <w:caps w:val="0"/>
          <w:color w:val="000000"/>
          <w:spacing w:val="0"/>
          <w:kern w:val="0"/>
          <w:sz w:val="28"/>
          <w:szCs w:val="28"/>
          <w:shd w:val="clear" w:fill="FFFFFF"/>
          <w:lang w:val="en-US" w:eastAsia="zh-CN" w:bidi="ar"/>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1.交货时间：合同签订后10天内交货。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560" w:firstLineChars="200"/>
        <w:jc w:val="left"/>
        <w:rPr>
          <w:rFonts w:hint="eastAsia" w:ascii="仿宋_GB2312" w:hAnsi="仿宋_GB2312" w:eastAsia="仿宋_GB2312" w:cs="仿宋_GB2312"/>
          <w:i w:val="0"/>
          <w:iCs w:val="0"/>
          <w:caps w:val="0"/>
          <w:color w:val="000000"/>
          <w:spacing w:val="0"/>
          <w:kern w:val="0"/>
          <w:sz w:val="28"/>
          <w:szCs w:val="28"/>
          <w:shd w:val="clear" w:fill="FFFFFF"/>
          <w:lang w:val="en-US" w:eastAsia="zh-CN" w:bidi="ar"/>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2.交货地点：大邑县人民医院。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560" w:firstLineChars="200"/>
        <w:jc w:val="left"/>
        <w:rPr>
          <w:rFonts w:hint="eastAsia" w:ascii="仿宋_GB2312" w:hAnsi="仿宋_GB2312" w:eastAsia="仿宋_GB2312" w:cs="仿宋_GB2312"/>
          <w:i w:val="0"/>
          <w:iCs w:val="0"/>
          <w:caps w:val="0"/>
          <w:color w:val="000000"/>
          <w:spacing w:val="0"/>
          <w:kern w:val="0"/>
          <w:sz w:val="28"/>
          <w:szCs w:val="28"/>
          <w:shd w:val="clear" w:fill="FFFFFF"/>
          <w:lang w:val="en-US" w:eastAsia="zh-CN" w:bidi="ar"/>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二）服务方式：供货方提供设备运维，在原有设备无法使用的情况下需要提供满足指标要求的余氯在线监测仪设备；合同价是供应商响应采购项目要求的全部工作内容的价格体现；在运营期间，设备使用权归甲方，设备所有权归乙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560" w:firstLineChars="200"/>
        <w:jc w:val="left"/>
        <w:rPr>
          <w:rFonts w:hint="eastAsia" w:ascii="仿宋_GB2312" w:hAnsi="仿宋_GB2312" w:eastAsia="仿宋_GB2312" w:cs="仿宋_GB2312"/>
          <w:i w:val="0"/>
          <w:iCs w:val="0"/>
          <w:caps w:val="0"/>
          <w:color w:val="000000"/>
          <w:spacing w:val="0"/>
          <w:kern w:val="0"/>
          <w:sz w:val="28"/>
          <w:szCs w:val="28"/>
          <w:shd w:val="clear" w:fill="FFFFFF"/>
          <w:lang w:val="en-US" w:eastAsia="zh-CN" w:bidi="ar"/>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（三）服务期限：三年；</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560" w:firstLineChars="20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（四）付款方式：合同一年一签，费用一年一付。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560" w:firstLineChars="20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（五）服务要求：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投标人所提供的所有产品、服务及配套设施均需符合国家有关质量标准。所提供的货物必须是全新的，出厂后未开封、未使用过的产品。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firstLineChars="20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具体运行维护要求如下：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80" w:firstLineChars="10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（1）在线监测设备的维护和保养：包括设备校准、仪器检查、保养及维护，现场仪器故障的处理及零配件提供及更换，仪器设备的故障恢复等。及时校准现场仪器设备，保证数据的准确、可靠。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80" w:firstLineChars="10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（2）易耗品的提供：包括所有设备需定期更换的易耗品，设备系统正常工作所需定期更换的材料。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80" w:firstLineChars="10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（3）做好现场端设备故障的记录、分析，有问题及时处理迅速准确地提出排除方案，并排除故障，尽力减少故障造成的损失。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80" w:firstLineChars="10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（4）保障设备运行正常，监控数据准确及时，实时上传至监控中心。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80" w:firstLineChars="10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（5）配合各级相关部门进行检查。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80" w:firstLineChars="10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（6）按照《污染源自动监控设施运行管理办法》（环办〔2008〕6号）、《水污染源在线监测系统（CODCr、NH3-N 等）运行技术规范》（HJ 355-2019）的要求对在线监控设施运行维护进行标准化管理。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80" w:firstLineChars="100"/>
        <w:rPr>
          <w:rFonts w:hint="eastAsia" w:ascii="仿宋_GB2312" w:hAnsi="仿宋_GB2312" w:eastAsia="仿宋_GB2312" w:cs="仿宋_GB2312"/>
          <w:i w:val="0"/>
          <w:iCs w:val="0"/>
          <w:caps w:val="0"/>
          <w:color w:val="000000"/>
          <w:spacing w:val="0"/>
          <w:sz w:val="28"/>
          <w:szCs w:val="28"/>
          <w:shd w:val="clear" w:fill="FFFFFF"/>
        </w:rPr>
      </w:pPr>
      <w:r>
        <w:rPr>
          <w:rFonts w:hint="eastAsia" w:ascii="仿宋_GB2312" w:hAnsi="仿宋_GB2312" w:eastAsia="仿宋_GB2312" w:cs="仿宋_GB2312"/>
          <w:i w:val="0"/>
          <w:iCs w:val="0"/>
          <w:caps w:val="0"/>
          <w:color w:val="000000"/>
          <w:spacing w:val="0"/>
          <w:sz w:val="28"/>
          <w:szCs w:val="28"/>
          <w:shd w:val="clear" w:fill="FFFFFF"/>
        </w:rPr>
        <w:t>（</w:t>
      </w:r>
      <w:r>
        <w:rPr>
          <w:rFonts w:hint="eastAsia" w:ascii="仿宋_GB2312" w:hAnsi="仿宋_GB2312" w:eastAsia="仿宋_GB2312" w:cs="仿宋_GB2312"/>
          <w:i w:val="0"/>
          <w:iCs w:val="0"/>
          <w:caps w:val="0"/>
          <w:color w:val="000000"/>
          <w:spacing w:val="0"/>
          <w:sz w:val="28"/>
          <w:szCs w:val="28"/>
          <w:shd w:val="clear" w:fill="FFFFFF"/>
          <w:lang w:val="en-US" w:eastAsia="zh-CN"/>
        </w:rPr>
        <w:t>7</w:t>
      </w:r>
      <w:r>
        <w:rPr>
          <w:rFonts w:hint="eastAsia" w:ascii="仿宋_GB2312" w:hAnsi="仿宋_GB2312" w:eastAsia="仿宋_GB2312" w:cs="仿宋_GB2312"/>
          <w:i w:val="0"/>
          <w:iCs w:val="0"/>
          <w:caps w:val="0"/>
          <w:color w:val="000000"/>
          <w:spacing w:val="0"/>
          <w:sz w:val="28"/>
          <w:szCs w:val="28"/>
          <w:shd w:val="clear" w:fill="FFFFFF"/>
        </w:rPr>
        <w:t>）每周对设备进行巡检。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color w:val="000000"/>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color w:val="000000"/>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color w:val="000000"/>
          <w:spacing w:val="0"/>
          <w:sz w:val="24"/>
          <w:szCs w:val="24"/>
          <w:shd w:val="clear" w:fill="FFFFFF"/>
        </w:rPr>
      </w:pP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10B21"/>
    <w:rsid w:val="00D31D50"/>
    <w:rsid w:val="10106ACA"/>
    <w:rsid w:val="11331570"/>
    <w:rsid w:val="12070C68"/>
    <w:rsid w:val="18666DC5"/>
    <w:rsid w:val="1B3268FA"/>
    <w:rsid w:val="1C4F5F14"/>
    <w:rsid w:val="31F14D60"/>
    <w:rsid w:val="3D6F7B8B"/>
    <w:rsid w:val="3E5F459C"/>
    <w:rsid w:val="45890B81"/>
    <w:rsid w:val="49314C18"/>
    <w:rsid w:val="4C7E6C08"/>
    <w:rsid w:val="545365CB"/>
    <w:rsid w:val="54D9588A"/>
    <w:rsid w:val="56A565FD"/>
    <w:rsid w:val="5A5057BF"/>
    <w:rsid w:val="5A7305CA"/>
    <w:rsid w:val="69A44C52"/>
    <w:rsid w:val="6D6866EC"/>
    <w:rsid w:val="714E1EE0"/>
    <w:rsid w:val="72075A3F"/>
    <w:rsid w:val="78C25E71"/>
    <w:rsid w:val="7D771993"/>
    <w:rsid w:val="7DD72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line="440" w:lineRule="exact"/>
    </w:pPr>
    <w:rPr>
      <w:rFonts w:ascii="宋体" w:hAnsi="宋体" w:cs="宋体"/>
      <w:kern w:val="1"/>
      <w:sz w:val="24"/>
      <w:szCs w:val="24"/>
    </w:r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2024-01-18T01:17:13Z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