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报价表</w:t>
      </w:r>
    </w:p>
    <w:p>
      <w:pPr>
        <w:pStyle w:val="2"/>
      </w:pPr>
    </w:p>
    <w:tbl>
      <w:tblPr>
        <w:tblStyle w:val="9"/>
        <w:tblW w:w="89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80"/>
        <w:gridCol w:w="2940"/>
        <w:gridCol w:w="840"/>
        <w:gridCol w:w="76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品牌型号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</w:rPr>
              <w:t>产品名称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海康威视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14"/>
                <w:rFonts w:hint="eastAsia" w:eastAsia="宋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枪式摄像机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、海螺型</w:t>
            </w:r>
            <w:r>
              <w:rPr>
                <w:rFonts w:hint="eastAsia" w:ascii="宋体" w:hAnsi="宋体" w:cs="宋体"/>
                <w:sz w:val="24"/>
              </w:rPr>
              <w:t>摄像机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普联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sf1008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8口千兆交换机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12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普联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16口千兆交换机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4"/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海康威视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DS-8632N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监控主机（32路）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希捷ST8000VX010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8T监控硬盘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小耳朵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集中供电电源12V30A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科达视讯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光纤收发器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海康威视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DS-1LN6-UE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六类网线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普西亚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烽火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光纤跳线（1.5米）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海康威视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DS-8616N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监控主机（16路）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烽火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皮质光纤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康佳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显示器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普联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交换机（24口）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多联塑胶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PVC管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工时费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辅材辅助费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</w:rPr>
              <w:t>1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其他项维修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按照实际工程量核定价格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签证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、验收、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Style w:val="14"/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合计（元）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</w:rPr>
              <w:fldChar w:fldCharType="begin"/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instrText xml:space="preserve"> = sum(F2:F19) \* MERGEFORMAT </w:instrTex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fldChar w:fldCharType="separate"/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t>7846.9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sz w:val="24"/>
          <w:lang w:val="zh-CN"/>
        </w:rPr>
      </w:pPr>
    </w:p>
    <w:p>
      <w:pPr>
        <w:rPr>
          <w:rFonts w:ascii="宋体" w:hAnsi="宋体"/>
          <w:sz w:val="18"/>
          <w:szCs w:val="18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3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9C21C7"/>
    <w:rsid w:val="000C7D3B"/>
    <w:rsid w:val="000F723D"/>
    <w:rsid w:val="004970F6"/>
    <w:rsid w:val="009C21C7"/>
    <w:rsid w:val="00D93869"/>
    <w:rsid w:val="05B530FF"/>
    <w:rsid w:val="061A573B"/>
    <w:rsid w:val="06EC78C7"/>
    <w:rsid w:val="0AE05CC8"/>
    <w:rsid w:val="11AD63C2"/>
    <w:rsid w:val="1C3C29B3"/>
    <w:rsid w:val="267732D7"/>
    <w:rsid w:val="296F4668"/>
    <w:rsid w:val="2B8F6EAA"/>
    <w:rsid w:val="2DB57B82"/>
    <w:rsid w:val="2E5002EC"/>
    <w:rsid w:val="32AD2978"/>
    <w:rsid w:val="33C62C90"/>
    <w:rsid w:val="354E7E60"/>
    <w:rsid w:val="37A730E6"/>
    <w:rsid w:val="3BB13D42"/>
    <w:rsid w:val="44D227EC"/>
    <w:rsid w:val="497356BF"/>
    <w:rsid w:val="4DD12080"/>
    <w:rsid w:val="51F872B4"/>
    <w:rsid w:val="52394CDF"/>
    <w:rsid w:val="526B55F5"/>
    <w:rsid w:val="54061FE8"/>
    <w:rsid w:val="546753F7"/>
    <w:rsid w:val="600E6CBD"/>
    <w:rsid w:val="62242FE2"/>
    <w:rsid w:val="69C7718D"/>
    <w:rsid w:val="6B1F196A"/>
    <w:rsid w:val="712C0474"/>
    <w:rsid w:val="71F46113"/>
    <w:rsid w:val="730B1F4C"/>
    <w:rsid w:val="73F65B3B"/>
    <w:rsid w:val="79B5085D"/>
    <w:rsid w:val="7AB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</w:pPr>
    <w:rPr>
      <w:sz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99"/>
    <w:pPr>
      <w:spacing w:before="100" w:after="100"/>
    </w:pPr>
    <w:rPr>
      <w:rFonts w:ascii="宋体" w:hAnsi="宋体" w:cs="宋体"/>
      <w:color w:val="000000"/>
      <w:sz w:val="18"/>
      <w:szCs w:val="18"/>
    </w:rPr>
  </w:style>
  <w:style w:type="character" w:styleId="11">
    <w:name w:val="Emphasis"/>
    <w:qFormat/>
    <w:uiPriority w:val="20"/>
    <w:rPr>
      <w:i/>
      <w:iCs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character" w:customStyle="1" w:styleId="14">
    <w:name w:val="NormalCharacter1"/>
    <w:semiHidden/>
    <w:qFormat/>
    <w:uiPriority w:val="0"/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next w:val="2"/>
    <w:qFormat/>
    <w:uiPriority w:val="0"/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371</Characters>
  <Lines>27</Lines>
  <Paragraphs>7</Paragraphs>
  <TotalTime>6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2024-01-16T16:08:00Z</dcterms:created>
  <dc:creator>中润信通电子工程</dc:creator>
  <cp:lastModifiedBy>1234</cp:lastModifiedBy>
  <cp:lastPrinted>2024-02-06T00:46:59Z</cp:lastPrinted>
  <dcterms:modified xsi:type="dcterms:W3CDTF">2024-02-06T00:51:14Z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BD45112B919A4ED4ACCE806A9BEDF31E_11</vt:lpwstr>
  </property>
</Properties>
</file>