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right"/>
        <w:rPr>
          <w:rFonts w:asciiTheme="minorEastAsia" w:hAnsiTheme="minorEastAsia"/>
          <w:sz w:val="28"/>
          <w:szCs w:val="28"/>
        </w:rPr>
      </w:pPr>
    </w:p>
    <w:p>
      <w:pPr>
        <w:pStyle w:val="5"/>
        <w:jc w:val="center"/>
        <w:rPr>
          <w:rFonts w:hint="default" w:asciiTheme="minorEastAsia" w:hAnsiTheme="minorEastAsia" w:eastAsiaTheme="minorEastAsia"/>
          <w:b/>
          <w:bCs/>
          <w:sz w:val="28"/>
          <w:szCs w:val="28"/>
          <w:lang w:val="en-US" w:eastAsia="zh-CN"/>
        </w:rPr>
      </w:pPr>
      <w:r>
        <w:rPr>
          <w:rFonts w:hint="eastAsia" w:asciiTheme="minorEastAsia" w:hAnsiTheme="minorEastAsia"/>
          <w:b/>
          <w:bCs/>
          <w:sz w:val="28"/>
          <w:szCs w:val="28"/>
          <w:lang w:val="en-US" w:eastAsia="zh-CN"/>
        </w:rPr>
        <w:t>放射PACS系统CT接入技术要求</w:t>
      </w:r>
    </w:p>
    <w:p>
      <w:pPr>
        <w:numPr>
          <w:ilvl w:val="0"/>
          <w:numId w:val="1"/>
        </w:numPr>
        <w:adjustRightInd w:val="0"/>
        <w:spacing w:line="360" w:lineRule="auto"/>
        <w:rPr>
          <w:rFonts w:hint="eastAsia" w:ascii="宋体" w:hAnsi="宋体" w:eastAsia="宋体" w:cs="宋体"/>
          <w:lang w:val="en-US" w:eastAsia="zh-CN"/>
        </w:rPr>
      </w:pPr>
      <w:r>
        <w:rPr>
          <w:rFonts w:hint="eastAsia" w:ascii="宋体" w:hAnsi="宋体" w:eastAsia="宋体" w:cs="宋体"/>
          <w:lang w:val="en-US" w:eastAsia="zh-CN"/>
        </w:rPr>
        <w:t>CT需与医院</w:t>
      </w:r>
      <w:r>
        <w:rPr>
          <w:rFonts w:hint="eastAsia" w:ascii="宋体" w:hAnsi="宋体" w:eastAsia="宋体" w:cs="宋体"/>
        </w:rPr>
        <w:t>现有</w:t>
      </w:r>
      <w:r>
        <w:rPr>
          <w:rFonts w:hint="eastAsia" w:ascii="宋体" w:hAnsi="宋体" w:eastAsia="宋体" w:cs="宋体"/>
          <w:lang w:val="en-US" w:eastAsia="zh-CN"/>
        </w:rPr>
        <w:t>PACS</w:t>
      </w:r>
      <w:r>
        <w:rPr>
          <w:rFonts w:hint="eastAsia" w:ascii="宋体" w:hAnsi="宋体" w:eastAsia="宋体" w:cs="宋体"/>
        </w:rPr>
        <w:t>系统无缝接入</w:t>
      </w:r>
      <w:r>
        <w:rPr>
          <w:rFonts w:hint="eastAsia" w:ascii="宋体" w:hAnsi="宋体" w:eastAsia="宋体" w:cs="宋体"/>
          <w:lang w:eastAsia="zh-CN"/>
        </w:rPr>
        <w:t>。</w:t>
      </w:r>
    </w:p>
    <w:p>
      <w:pPr>
        <w:numPr>
          <w:ilvl w:val="0"/>
          <w:numId w:val="1"/>
        </w:numPr>
        <w:adjustRightInd w:val="0"/>
        <w:spacing w:line="360" w:lineRule="auto"/>
        <w:rPr>
          <w:rFonts w:hint="eastAsia" w:ascii="宋体" w:hAnsi="宋体" w:eastAsia="宋体" w:cs="宋体"/>
        </w:rPr>
      </w:pPr>
      <w:r>
        <w:rPr>
          <w:rFonts w:hint="eastAsia" w:ascii="宋体" w:hAnsi="宋体" w:eastAsia="宋体" w:cs="宋体"/>
        </w:rPr>
        <w:t>甲方需配备为满足乙方提供服务所需要的包括但不限于互联网联接等</w:t>
      </w:r>
      <w:r>
        <w:rPr>
          <w:rFonts w:hint="eastAsia" w:ascii="宋体" w:hAnsi="宋体" w:eastAsia="宋体" w:cs="宋体"/>
          <w:lang w:val="en-US" w:eastAsia="zh-CN"/>
        </w:rPr>
        <w:t>环境条件</w:t>
      </w:r>
      <w:r>
        <w:rPr>
          <w:rFonts w:hint="eastAsia" w:ascii="宋体" w:hAnsi="宋体" w:eastAsia="宋体" w:cs="宋体"/>
        </w:rPr>
        <w:t>。</w:t>
      </w:r>
    </w:p>
    <w:p>
      <w:pPr>
        <w:numPr>
          <w:ilvl w:val="0"/>
          <w:numId w:val="1"/>
        </w:numPr>
        <w:adjustRightInd w:val="0"/>
        <w:spacing w:line="360" w:lineRule="auto"/>
        <w:rPr>
          <w:rFonts w:hint="eastAsia" w:ascii="宋体" w:hAnsi="宋体" w:eastAsia="宋体" w:cs="宋体"/>
        </w:rPr>
      </w:pPr>
      <w:r>
        <w:rPr>
          <w:rFonts w:hint="eastAsia" w:ascii="宋体" w:hAnsi="宋体" w:eastAsia="宋体" w:cs="宋体"/>
        </w:rPr>
        <w:t>乙方</w:t>
      </w:r>
      <w:r>
        <w:rPr>
          <w:rFonts w:hint="eastAsia" w:ascii="宋体" w:hAnsi="宋体" w:eastAsia="宋体" w:cs="宋体"/>
          <w:lang w:val="en-US" w:eastAsia="zh-CN"/>
        </w:rPr>
        <w:t>完成设备系统调试，</w:t>
      </w:r>
      <w:r>
        <w:rPr>
          <w:rFonts w:hint="eastAsia" w:ascii="宋体" w:hAnsi="宋体" w:eastAsia="宋体" w:cs="宋体"/>
        </w:rPr>
        <w:t>经由甲方人员确认通过后，确认无误后由甲方信息管理中心对乙方提供的服务进行签字确认。</w:t>
      </w:r>
    </w:p>
    <w:p>
      <w:pPr>
        <w:numPr>
          <w:ilvl w:val="0"/>
          <w:numId w:val="1"/>
        </w:numPr>
        <w:adjustRightInd w:val="0"/>
        <w:spacing w:line="360" w:lineRule="auto"/>
        <w:rPr>
          <w:rFonts w:hint="eastAsia" w:ascii="宋体" w:hAnsi="宋体" w:eastAsia="宋体" w:cs="宋体"/>
        </w:rPr>
      </w:pPr>
      <w:r>
        <w:rPr>
          <w:rFonts w:hint="eastAsia" w:ascii="宋体" w:hAnsi="宋体" w:eastAsia="宋体" w:cs="宋体"/>
        </w:rPr>
        <w:t>基本服务内容</w:t>
      </w:r>
    </w:p>
    <w:tbl>
      <w:tblPr>
        <w:tblStyle w:val="10"/>
        <w:tblW w:w="10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1268"/>
        <w:gridCol w:w="8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asciiTheme="minorEastAsia" w:hAnsiTheme="minorEastAsia"/>
                <w:b/>
                <w:szCs w:val="21"/>
              </w:rPr>
            </w:pPr>
            <w:r>
              <w:rPr>
                <w:rFonts w:hint="eastAsia" w:asciiTheme="minorEastAsia" w:hAnsiTheme="minorEastAsia"/>
                <w:b/>
                <w:szCs w:val="21"/>
              </w:rPr>
              <w:t>序号</w:t>
            </w:r>
          </w:p>
        </w:tc>
        <w:tc>
          <w:tcPr>
            <w:tcW w:w="1268" w:type="dxa"/>
            <w:shd w:val="clear" w:color="auto" w:fill="auto"/>
            <w:vAlign w:val="top"/>
          </w:tcPr>
          <w:p>
            <w:pPr>
              <w:jc w:val="left"/>
              <w:rPr>
                <w:rFonts w:asciiTheme="minorEastAsia" w:hAnsiTheme="minorEastAsia"/>
                <w:b/>
                <w:szCs w:val="21"/>
              </w:rPr>
            </w:pPr>
            <w:r>
              <w:rPr>
                <w:rFonts w:hint="eastAsia" w:asciiTheme="minorEastAsia" w:hAnsiTheme="minorEastAsia"/>
                <w:b/>
                <w:szCs w:val="21"/>
              </w:rPr>
              <w:t>服务类别</w:t>
            </w:r>
          </w:p>
        </w:tc>
        <w:tc>
          <w:tcPr>
            <w:tcW w:w="8895" w:type="dxa"/>
            <w:shd w:val="clear" w:color="auto" w:fill="auto"/>
            <w:vAlign w:val="top"/>
          </w:tcPr>
          <w:p>
            <w:pPr>
              <w:jc w:val="left"/>
              <w:rPr>
                <w:rFonts w:asciiTheme="minorEastAsia" w:hAnsiTheme="minorEastAsia"/>
                <w:b/>
                <w:szCs w:val="21"/>
              </w:rPr>
            </w:pPr>
            <w:r>
              <w:rPr>
                <w:rFonts w:hint="eastAsia" w:asciiTheme="minorEastAsia" w:hAnsiTheme="minorEastAsia"/>
                <w:b/>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268" w:type="dxa"/>
            <w:vMerge w:val="restart"/>
            <w:shd w:val="clear" w:color="auto" w:fill="auto"/>
            <w:vAlign w:val="top"/>
          </w:tcPr>
          <w:p>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CT设备接入（1台）</w:t>
            </w:r>
          </w:p>
        </w:tc>
        <w:tc>
          <w:tcPr>
            <w:tcW w:w="8895" w:type="dxa"/>
            <w:shd w:val="clear" w:color="auto" w:fill="auto"/>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放射客户端：患者登记</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2</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放射客户端：技师工作站功能</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放射客户端：数据检索</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放射客户端：影像管理</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5</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放射客户端：报告管理</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6</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放射客户端：报告打印</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7</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放射客户端：病历追踪</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8</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放射客户端：统计分析</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9</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放射客户端：胶片打印</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10</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放射客户端：二维和三维集成的一体化显示平台</w:t>
            </w:r>
            <w:r>
              <w:rPr>
                <w:rFonts w:hint="eastAsia" w:asciiTheme="minorEastAsia" w:hAnsiTheme="minorEastAsia" w:eastAsiaTheme="minorEastAsia" w:cstheme="minorEastAsia"/>
                <w:sz w:val="21"/>
                <w:szCs w:val="21"/>
                <w:lang w:val="en-US" w:eastAsia="zh-CN"/>
              </w:rPr>
              <w:t>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11</w:t>
            </w:r>
          </w:p>
        </w:tc>
        <w:tc>
          <w:tcPr>
            <w:tcW w:w="1268" w:type="dxa"/>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数据接口类</w:t>
            </w:r>
          </w:p>
        </w:tc>
        <w:tc>
          <w:tcPr>
            <w:tcW w:w="8895" w:type="dxa"/>
            <w:shd w:val="clear" w:color="auto" w:fill="auto"/>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新接入</w:t>
            </w:r>
            <w:r>
              <w:rPr>
                <w:rFonts w:hint="eastAsia" w:asciiTheme="minorEastAsia" w:hAnsiTheme="minorEastAsia" w:cstheme="minorEastAsia"/>
                <w:sz w:val="21"/>
                <w:szCs w:val="21"/>
                <w:lang w:val="en-US" w:eastAsia="zh-CN"/>
              </w:rPr>
              <w:t>CT</w:t>
            </w:r>
            <w:r>
              <w:rPr>
                <w:rFonts w:hint="eastAsia" w:asciiTheme="minorEastAsia" w:hAnsiTheme="minorEastAsia" w:eastAsiaTheme="minorEastAsia" w:cstheme="minorEastAsia"/>
                <w:sz w:val="21"/>
                <w:szCs w:val="21"/>
                <w:lang w:val="en-US" w:eastAsia="zh-CN"/>
              </w:rPr>
              <w:t>与现有</w:t>
            </w:r>
            <w:r>
              <w:rPr>
                <w:rFonts w:hint="eastAsia" w:asciiTheme="minorEastAsia" w:hAnsiTheme="minorEastAsia" w:cstheme="minorEastAsia"/>
                <w:sz w:val="21"/>
                <w:szCs w:val="21"/>
                <w:lang w:val="en-US" w:eastAsia="zh-CN"/>
              </w:rPr>
              <w:t>医院PACS</w:t>
            </w:r>
            <w:r>
              <w:rPr>
                <w:rFonts w:hint="eastAsia" w:asciiTheme="minorEastAsia" w:hAnsiTheme="minorEastAsia" w:eastAsiaTheme="minorEastAsia" w:cstheme="minorEastAsia"/>
                <w:sz w:val="21"/>
                <w:szCs w:val="21"/>
              </w:rPr>
              <w:t>产品</w:t>
            </w:r>
            <w:r>
              <w:rPr>
                <w:rFonts w:hint="eastAsia" w:asciiTheme="minorEastAsia" w:hAnsiTheme="minorEastAsia" w:eastAsiaTheme="minorEastAsia" w:cstheme="minorEastAsia"/>
                <w:sz w:val="21"/>
                <w:szCs w:val="21"/>
                <w:lang w:val="en-US" w:eastAsia="zh-CN"/>
              </w:rPr>
              <w:t>及</w:t>
            </w:r>
            <w:r>
              <w:rPr>
                <w:rFonts w:hint="eastAsia" w:asciiTheme="minorEastAsia" w:hAnsiTheme="minorEastAsia" w:eastAsiaTheme="minorEastAsia" w:cstheme="minorEastAsia"/>
                <w:sz w:val="21"/>
                <w:szCs w:val="21"/>
              </w:rPr>
              <w:t>现有第三方产品数据交互</w:t>
            </w:r>
            <w:r>
              <w:rPr>
                <w:rFonts w:hint="eastAsia" w:asciiTheme="minorEastAsia" w:hAnsiTheme="minorEastAsia" w:cstheme="minorEastAsia"/>
                <w:sz w:val="21"/>
                <w:szCs w:val="21"/>
                <w:lang w:val="en-US" w:eastAsia="zh-CN"/>
              </w:rPr>
              <w:t>接口正常</w:t>
            </w:r>
            <w:r>
              <w:rPr>
                <w:rFonts w:hint="eastAsia" w:asciiTheme="minorEastAsia" w:hAnsiTheme="minorEastAsia" w:eastAsiaTheme="minorEastAsia" w:cstheme="minorEastAsia"/>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12</w:t>
            </w:r>
          </w:p>
        </w:tc>
        <w:tc>
          <w:tcPr>
            <w:tcW w:w="1268" w:type="dxa"/>
            <w:vMerge w:val="restart"/>
            <w:shd w:val="clear" w:color="auto" w:fill="auto"/>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技术支持及培训类</w:t>
            </w:r>
          </w:p>
        </w:tc>
        <w:tc>
          <w:tcPr>
            <w:tcW w:w="8895"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乙方为甲方指定责任工程师，负责乙方产品的</w:t>
            </w:r>
            <w:r>
              <w:rPr>
                <w:rFonts w:hint="eastAsia" w:asciiTheme="minorEastAsia" w:hAnsiTheme="minorEastAsia" w:eastAsiaTheme="minorEastAsia" w:cstheme="minorEastAsia"/>
                <w:sz w:val="21"/>
                <w:szCs w:val="21"/>
                <w:lang w:val="en-US" w:eastAsia="zh-CN"/>
              </w:rPr>
              <w:t>安装</w:t>
            </w:r>
            <w:r>
              <w:rPr>
                <w:rFonts w:hint="eastAsia" w:asciiTheme="minorEastAsia" w:hAnsiTheme="minorEastAsia" w:eastAsiaTheme="minorEastAsia" w:cstheme="minorEastAsia"/>
                <w:sz w:val="21"/>
                <w:szCs w:val="21"/>
              </w:rPr>
              <w:t>及bug处理</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517" w:type="dxa"/>
            <w:shd w:val="clear" w:color="auto" w:fill="auto"/>
            <w:vAlign w:val="top"/>
          </w:tcPr>
          <w:p>
            <w:pPr>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14</w:t>
            </w:r>
          </w:p>
        </w:tc>
        <w:tc>
          <w:tcPr>
            <w:tcW w:w="1268" w:type="dxa"/>
            <w:vMerge w:val="continue"/>
            <w:shd w:val="clear" w:color="auto" w:fill="auto"/>
            <w:vAlign w:val="top"/>
          </w:tcPr>
          <w:p>
            <w:pPr>
              <w:jc w:val="left"/>
              <w:rPr>
                <w:rFonts w:hint="eastAsia" w:asciiTheme="minorEastAsia" w:hAnsiTheme="minorEastAsia" w:eastAsiaTheme="minorEastAsia" w:cstheme="minorEastAsia"/>
                <w:sz w:val="21"/>
                <w:szCs w:val="21"/>
              </w:rPr>
            </w:pPr>
          </w:p>
        </w:tc>
        <w:tc>
          <w:tcPr>
            <w:tcW w:w="8895" w:type="dxa"/>
            <w:shd w:val="clear" w:color="auto" w:fill="auto"/>
            <w:vAlign w:val="top"/>
          </w:tcPr>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对客户进行技术培训和产品功能讲解</w:t>
            </w:r>
            <w:r>
              <w:rPr>
                <w:rFonts w:hint="eastAsia" w:asciiTheme="minorEastAsia" w:hAnsiTheme="minorEastAsia" w:eastAsiaTheme="minorEastAsia" w:cstheme="minorEastAsia"/>
                <w:sz w:val="21"/>
                <w:szCs w:val="21"/>
                <w:lang w:eastAsia="zh-CN"/>
              </w:rPr>
              <w:t>。</w:t>
            </w:r>
          </w:p>
        </w:tc>
      </w:tr>
    </w:tbl>
    <w:p>
      <w:pPr>
        <w:pStyle w:val="15"/>
        <w:numPr>
          <w:ilvl w:val="0"/>
          <w:numId w:val="0"/>
        </w:numPr>
        <w:ind w:left="420" w:leftChars="0"/>
        <w:rPr>
          <w:rFonts w:hint="eastAsia" w:asciiTheme="minorEastAsia" w:hAnsiTheme="minorEastAsia" w:eastAsiaTheme="minorEastAsia" w:cstheme="minorEastAsia"/>
          <w:sz w:val="21"/>
          <w:szCs w:val="21"/>
        </w:rPr>
      </w:pPr>
    </w:p>
    <w:p>
      <w:pPr>
        <w:pStyle w:val="5"/>
        <w:jc w:val="left"/>
        <w:rPr>
          <w:rFonts w:hint="eastAsia" w:asciiTheme="minorEastAsia" w:hAnsiTheme="minorEastAsia"/>
          <w:sz w:val="28"/>
          <w:szCs w:val="28"/>
        </w:rPr>
      </w:pPr>
    </w:p>
    <w:p>
      <w:pPr>
        <w:pStyle w:val="5"/>
        <w:jc w:val="left"/>
        <w:rPr>
          <w:rFonts w:hint="eastAsia" w:asciiTheme="minorEastAsia" w:hAnsiTheme="minorEastAsia"/>
          <w:sz w:val="28"/>
          <w:szCs w:val="28"/>
        </w:rPr>
      </w:pPr>
    </w:p>
    <w:p>
      <w:pPr>
        <w:pStyle w:val="5"/>
        <w:jc w:val="left"/>
        <w:rPr>
          <w:rFonts w:hint="eastAsia" w:asciiTheme="minorEastAsia" w:hAnsiTheme="minorEastAsia"/>
          <w:sz w:val="28"/>
          <w:szCs w:val="28"/>
        </w:rPr>
      </w:pPr>
    </w:p>
    <w:p>
      <w:pPr>
        <w:pStyle w:val="5"/>
        <w:jc w:val="left"/>
        <w:rPr>
          <w:rFonts w:hint="eastAsia" w:asciiTheme="minorEastAsia" w:hAnsiTheme="minorEastAsia"/>
          <w:sz w:val="28"/>
          <w:szCs w:val="28"/>
        </w:rPr>
      </w:pPr>
    </w:p>
    <w:p>
      <w:pPr>
        <w:pStyle w:val="5"/>
        <w:jc w:val="left"/>
        <w:rPr>
          <w:rFonts w:hint="eastAsia" w:asciiTheme="minorEastAsia" w:hAnsiTheme="minorEastAsia"/>
          <w:sz w:val="28"/>
          <w:szCs w:val="28"/>
        </w:rPr>
      </w:pPr>
    </w:p>
    <w:p>
      <w:pPr>
        <w:pStyle w:val="5"/>
        <w:jc w:val="left"/>
        <w:rPr>
          <w:rFonts w:hint="eastAsia" w:asciiTheme="minorEastAsia" w:hAnsiTheme="minorEastAsia"/>
          <w:sz w:val="28"/>
          <w:szCs w:val="28"/>
        </w:rPr>
      </w:pPr>
    </w:p>
    <w:p>
      <w:pPr>
        <w:pStyle w:val="5"/>
        <w:jc w:val="left"/>
        <w:rPr>
          <w:rFonts w:hint="eastAsia" w:asciiTheme="minorEastAsia" w:hAnsiTheme="minorEastAsia"/>
          <w:sz w:val="28"/>
          <w:szCs w:val="28"/>
        </w:rPr>
      </w:pPr>
    </w:p>
    <w:p>
      <w:pPr>
        <w:widowControl/>
        <w:numPr>
          <w:ilvl w:val="0"/>
          <w:numId w:val="0"/>
        </w:numPr>
        <w:spacing w:before="100" w:beforeAutospacing="1" w:after="100" w:afterAutospacing="1" w:line="420" w:lineRule="atLeast"/>
        <w:ind w:leftChars="0"/>
        <w:jc w:val="center"/>
        <w:rPr>
          <w:rFonts w:hint="eastAsia" w:ascii="宋体" w:hAnsi="宋体" w:cs="宋体"/>
          <w:b/>
          <w:bCs/>
          <w:kern w:val="0"/>
          <w:sz w:val="32"/>
          <w:szCs w:val="32"/>
          <w:lang w:val="en-US" w:eastAsia="zh-CN"/>
        </w:rPr>
      </w:pPr>
    </w:p>
    <w:p>
      <w:pPr>
        <w:widowControl/>
        <w:numPr>
          <w:ilvl w:val="0"/>
          <w:numId w:val="0"/>
        </w:numPr>
        <w:spacing w:before="100" w:beforeAutospacing="1" w:after="100" w:afterAutospacing="1" w:line="420" w:lineRule="atLeast"/>
        <w:ind w:leftChars="0"/>
        <w:jc w:val="center"/>
        <w:rPr>
          <w:rFonts w:ascii="宋体" w:hAnsi="宋体" w:cs="宋体"/>
          <w:kern w:val="0"/>
          <w:sz w:val="32"/>
          <w:szCs w:val="32"/>
        </w:rPr>
      </w:pPr>
      <w:r>
        <w:rPr>
          <w:rFonts w:hint="eastAsia" w:ascii="宋体" w:hAnsi="宋体" w:cs="宋体"/>
          <w:b/>
          <w:bCs/>
          <w:kern w:val="0"/>
          <w:sz w:val="32"/>
          <w:szCs w:val="32"/>
          <w:lang w:val="en-US" w:eastAsia="zh-CN"/>
        </w:rPr>
        <w:t>评分标准</w:t>
      </w:r>
    </w:p>
    <w:tbl>
      <w:tblPr>
        <w:tblStyle w:val="10"/>
        <w:tblW w:w="9219"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fixed"/>
        <w:tblCellMar>
          <w:top w:w="0" w:type="dxa"/>
          <w:left w:w="0" w:type="dxa"/>
          <w:bottom w:w="0" w:type="dxa"/>
          <w:right w:w="0" w:type="dxa"/>
        </w:tblCellMar>
      </w:tblPr>
      <w:tblGrid>
        <w:gridCol w:w="1874"/>
        <w:gridCol w:w="742"/>
        <w:gridCol w:w="660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653" w:hRule="atLeast"/>
          <w:tblHeader/>
        </w:trPr>
        <w:tc>
          <w:tcPr>
            <w:tcW w:w="1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hint="eastAsia" w:ascii="宋体" w:hAnsi="宋体" w:cs="宋体"/>
                <w:sz w:val="21"/>
                <w:szCs w:val="21"/>
              </w:rPr>
            </w:pPr>
            <w:r>
              <w:rPr>
                <w:rFonts w:ascii="宋体" w:hAnsi="宋体" w:cs="宋体"/>
                <w:kern w:val="0"/>
                <w:sz w:val="21"/>
                <w:szCs w:val="21"/>
                <w:lang w:bidi="ar"/>
              </w:rPr>
              <w:t>评标项目</w:t>
            </w:r>
          </w:p>
        </w:tc>
        <w:tc>
          <w:tcPr>
            <w:tcW w:w="74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ascii="宋体" w:hAnsi="宋体" w:cs="宋体"/>
                <w:kern w:val="0"/>
                <w:sz w:val="21"/>
                <w:szCs w:val="21"/>
                <w:lang w:bidi="ar"/>
              </w:rPr>
            </w:pPr>
            <w:r>
              <w:rPr>
                <w:rFonts w:ascii="宋体" w:hAnsi="宋体" w:cs="宋体"/>
                <w:kern w:val="0"/>
                <w:sz w:val="21"/>
                <w:szCs w:val="21"/>
                <w:lang w:bidi="ar"/>
              </w:rPr>
              <w:t>评标</w:t>
            </w:r>
          </w:p>
          <w:p>
            <w:pPr>
              <w:widowControl/>
              <w:jc w:val="center"/>
              <w:rPr>
                <w:rFonts w:hint="eastAsia" w:ascii="宋体" w:hAnsi="宋体" w:cs="宋体"/>
                <w:sz w:val="21"/>
                <w:szCs w:val="21"/>
              </w:rPr>
            </w:pPr>
            <w:r>
              <w:rPr>
                <w:rFonts w:ascii="宋体" w:hAnsi="宋体" w:cs="宋体"/>
                <w:kern w:val="0"/>
                <w:sz w:val="21"/>
                <w:szCs w:val="21"/>
                <w:lang w:bidi="ar"/>
              </w:rPr>
              <w:t>分值</w:t>
            </w:r>
          </w:p>
        </w:tc>
        <w:tc>
          <w:tcPr>
            <w:tcW w:w="660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hint="eastAsia" w:ascii="宋体" w:hAnsi="宋体" w:cs="宋体"/>
                <w:sz w:val="21"/>
                <w:szCs w:val="21"/>
              </w:rPr>
            </w:pPr>
            <w:r>
              <w:rPr>
                <w:rFonts w:ascii="宋体" w:hAnsi="宋体" w:cs="宋体"/>
                <w:kern w:val="0"/>
                <w:sz w:val="21"/>
                <w:szCs w:val="21"/>
                <w:lang w:bidi="ar"/>
              </w:rPr>
              <w:t>评标方法描述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1995"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ascii="宋体" w:hAnsi="宋体" w:cs="宋体"/>
                <w:b/>
                <w:bCs/>
                <w:kern w:val="0"/>
                <w:sz w:val="24"/>
                <w:szCs w:val="24"/>
              </w:rPr>
            </w:pPr>
            <w:r>
              <w:rPr>
                <w:rFonts w:ascii="宋体" w:hAnsi="宋体" w:cs="宋体"/>
                <w:b/>
                <w:bCs/>
                <w:kern w:val="0"/>
                <w:sz w:val="24"/>
                <w:szCs w:val="24"/>
              </w:rPr>
              <w:t>报价部分评分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30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价格分采用低价优先法计算，即满足</w:t>
            </w:r>
            <w:r>
              <w:rPr>
                <w:rFonts w:hint="eastAsia" w:asciiTheme="minorEastAsia" w:hAnsiTheme="minorEastAsia" w:cstheme="minorEastAsia"/>
                <w:sz w:val="21"/>
                <w:szCs w:val="21"/>
                <w:lang w:eastAsia="zh-CN"/>
              </w:rPr>
              <w:t>招标</w:t>
            </w:r>
            <w:r>
              <w:rPr>
                <w:rFonts w:hint="eastAsia" w:asciiTheme="minorEastAsia" w:hAnsiTheme="minorEastAsia" w:eastAsiaTheme="minorEastAsia" w:cstheme="minorEastAsia"/>
                <w:sz w:val="21"/>
                <w:szCs w:val="21"/>
              </w:rPr>
              <w:t>文件要求且最后报价最低的供应商的价格为基准价，其价格分为满分。其他供应商的价格分统一按照下列公式计算：报价得分=（基准价／</w:t>
            </w:r>
            <w:r>
              <w:rPr>
                <w:rFonts w:hint="eastAsia" w:asciiTheme="minorEastAsia" w:hAnsiTheme="minorEastAsia" w:cstheme="minorEastAsia"/>
                <w:sz w:val="21"/>
                <w:szCs w:val="21"/>
                <w:lang w:eastAsia="zh-CN"/>
              </w:rPr>
              <w:t>最后</w:t>
            </w:r>
            <w:r>
              <w:rPr>
                <w:rFonts w:hint="eastAsia" w:asciiTheme="minorEastAsia" w:hAnsiTheme="minorEastAsia" w:eastAsiaTheme="minorEastAsia" w:cstheme="minorEastAsia"/>
                <w:sz w:val="21"/>
                <w:szCs w:val="21"/>
              </w:rPr>
              <w:t>报价）×</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0。</w:t>
            </w:r>
          </w:p>
          <w:p>
            <w:pPr>
              <w:widowControl/>
              <w:jc w:val="left"/>
              <w:rPr>
                <w:rFonts w:hint="eastAsia" w:ascii="宋体" w:hAnsi="宋体" w:cs="宋体"/>
                <w:sz w:val="24"/>
                <w:szCs w:val="24"/>
              </w:rPr>
            </w:pPr>
            <w:bookmarkStart w:id="0" w:name="_GoBack"/>
            <w:bookmarkEnd w:id="0"/>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988"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hint="eastAsia" w:ascii="宋体" w:hAnsi="宋体" w:cs="宋体"/>
                <w:sz w:val="24"/>
                <w:szCs w:val="24"/>
              </w:rPr>
            </w:pPr>
            <w:r>
              <w:rPr>
                <w:rFonts w:ascii="宋体" w:hAnsi="宋体" w:cs="宋体"/>
                <w:b/>
                <w:bCs/>
                <w:kern w:val="0"/>
                <w:sz w:val="24"/>
                <w:szCs w:val="24"/>
              </w:rPr>
              <w:t>技术部分评分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hint="default" w:ascii="宋体" w:hAnsi="宋体" w:cs="宋体"/>
                <w:sz w:val="24"/>
                <w:szCs w:val="24"/>
                <w:lang w:val="en-US"/>
              </w:rPr>
            </w:pPr>
            <w:r>
              <w:rPr>
                <w:rFonts w:hint="eastAsia" w:ascii="宋体" w:hAnsi="宋体" w:cs="宋体"/>
                <w:kern w:val="0"/>
                <w:sz w:val="24"/>
                <w:szCs w:val="24"/>
                <w:lang w:val="en-US" w:eastAsia="zh-CN" w:bidi="ar"/>
              </w:rPr>
              <w:t>60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供应商需根据本项目服务需求特点，提供整体方案：</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1、方案合理，内容详细，措施完善，可行性强，能完全满足项目服务要求，得</w:t>
            </w:r>
            <w:r>
              <w:rPr>
                <w:rFonts w:hint="eastAsia" w:asciiTheme="minorEastAsia" w:hAnsiTheme="minorEastAsia" w:eastAsiaTheme="minorEastAsia" w:cstheme="minorEastAsia"/>
                <w:sz w:val="21"/>
                <w:szCs w:val="21"/>
                <w:lang w:val="en-US" w:eastAsia="zh-CN"/>
              </w:rPr>
              <w:t>18-20</w:t>
            </w:r>
            <w:r>
              <w:rPr>
                <w:rFonts w:hint="eastAsia" w:asciiTheme="minorEastAsia" w:hAnsiTheme="minorEastAsia" w:eastAsiaTheme="minorEastAsia" w:cstheme="minorEastAsia"/>
                <w:sz w:val="21"/>
                <w:szCs w:val="21"/>
              </w:rPr>
              <w:t>分；</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2、方案较合理，内容较详细，措施合理，可行性较好，能基本满足服务要求，得</w:t>
            </w:r>
            <w:r>
              <w:rPr>
                <w:rFonts w:hint="eastAsia" w:asciiTheme="minorEastAsia" w:hAnsiTheme="minorEastAsia" w:eastAsiaTheme="minorEastAsia" w:cstheme="minorEastAsia"/>
                <w:sz w:val="21"/>
                <w:szCs w:val="21"/>
                <w:lang w:val="en-US" w:eastAsia="zh-CN"/>
              </w:rPr>
              <w:t>13-15</w:t>
            </w:r>
            <w:r>
              <w:rPr>
                <w:rFonts w:hint="eastAsia" w:asciiTheme="minorEastAsia" w:hAnsiTheme="minorEastAsia" w:eastAsiaTheme="minorEastAsia" w:cstheme="minorEastAsia"/>
                <w:sz w:val="21"/>
                <w:szCs w:val="21"/>
              </w:rPr>
              <w:t>分；</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3、方案内容有遗漏，措施欠合理，可行性较差，得</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分。</w:t>
            </w:r>
          </w:p>
          <w:p>
            <w:pPr>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根据供应商对招标文件“技术和服务要求”中【评分项】一般技术和服务要求的响应情况进行评分：</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个【评分项】全部无偏离或优于的得</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rPr>
              <w:t>分， 每一项负偏离扣</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分,扣完为止。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rHeight w:val="2379" w:hRule="atLeast"/>
        </w:trPr>
        <w:tc>
          <w:tcPr>
            <w:tcW w:w="1874"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hint="default" w:ascii="宋体" w:hAnsi="宋体" w:cs="宋体" w:eastAsiaTheme="minorEastAsia"/>
                <w:b/>
                <w:bCs/>
                <w:kern w:val="0"/>
                <w:sz w:val="24"/>
                <w:szCs w:val="24"/>
                <w:lang w:val="en-US" w:eastAsia="zh-CN"/>
              </w:rPr>
            </w:pPr>
            <w:r>
              <w:rPr>
                <w:rFonts w:ascii="宋体" w:hAnsi="宋体" w:cs="宋体"/>
                <w:b/>
                <w:bCs/>
                <w:kern w:val="0"/>
                <w:sz w:val="24"/>
                <w:szCs w:val="24"/>
              </w:rPr>
              <w:t>商务部分评分</w:t>
            </w:r>
          </w:p>
        </w:tc>
        <w:tc>
          <w:tcPr>
            <w:tcW w:w="742"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widowControl/>
              <w:jc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10</w:t>
            </w:r>
          </w:p>
        </w:tc>
        <w:tc>
          <w:tcPr>
            <w:tcW w:w="6603" w:type="dxa"/>
            <w:tcBorders>
              <w:top w:val="single" w:color="666666" w:sz="6" w:space="0"/>
              <w:left w:val="single" w:color="666666" w:sz="6" w:space="0"/>
              <w:bottom w:val="single" w:color="666666" w:sz="6" w:space="0"/>
              <w:right w:val="single" w:color="666666" w:sz="6" w:space="0"/>
            </w:tcBorders>
            <w:shd w:val="clear" w:color="auto" w:fill="FFFFFF"/>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根据供应商的售后服务、技术支持能力与承诺优劣进行综合比较评价：</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1、服务保障体系及措施完善，技术支持能力强，服务响应快，响应程度高或优于采购需求的，得</w:t>
            </w:r>
            <w:r>
              <w:rPr>
                <w:rFonts w:hint="eastAsia" w:asciiTheme="minorEastAsia" w:hAnsiTheme="minorEastAsia" w:eastAsiaTheme="minorEastAsia" w:cstheme="minorEastAsia"/>
                <w:sz w:val="21"/>
                <w:szCs w:val="21"/>
                <w:lang w:val="en-US" w:eastAsia="zh-CN"/>
              </w:rPr>
              <w:t>8-10</w:t>
            </w:r>
            <w:r>
              <w:rPr>
                <w:rFonts w:hint="eastAsia" w:asciiTheme="minorEastAsia" w:hAnsiTheme="minorEastAsia" w:eastAsiaTheme="minorEastAsia" w:cstheme="minorEastAsia"/>
                <w:sz w:val="21"/>
                <w:szCs w:val="21"/>
              </w:rPr>
              <w:t>分。</w:t>
            </w:r>
          </w:p>
          <w:p>
            <w:pPr>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2、服务保障体系及措施较好，技术支持能力较强，服务响应较快，满足采购需求，得</w:t>
            </w:r>
            <w:r>
              <w:rPr>
                <w:rFonts w:hint="eastAsia" w:asciiTheme="minorEastAsia" w:hAnsiTheme="minorEastAsia" w:eastAsiaTheme="minorEastAsia" w:cstheme="minorEastAsia"/>
                <w:sz w:val="21"/>
                <w:szCs w:val="21"/>
                <w:lang w:val="en-US" w:eastAsia="zh-CN"/>
              </w:rPr>
              <w:t>4-6</w:t>
            </w:r>
            <w:r>
              <w:rPr>
                <w:rFonts w:hint="eastAsia" w:asciiTheme="minorEastAsia" w:hAnsiTheme="minorEastAsia" w:eastAsiaTheme="minorEastAsia" w:cstheme="minorEastAsia"/>
                <w:sz w:val="21"/>
                <w:szCs w:val="21"/>
              </w:rPr>
              <w:t>分。</w:t>
            </w:r>
          </w:p>
          <w:p>
            <w:pPr>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3、服务保障体系及措施基本符合招标要求，但技术支持能力和服务响应速度较差或一般，得0-1分。</w:t>
            </w:r>
          </w:p>
        </w:tc>
      </w:tr>
    </w:tbl>
    <w:p>
      <w:pPr>
        <w:pStyle w:val="16"/>
        <w:jc w:val="left"/>
      </w:pPr>
    </w:p>
    <w:p>
      <w:pPr>
        <w:pStyle w:val="5"/>
        <w:jc w:val="left"/>
        <w:rPr>
          <w:rFonts w:hint="eastAsia" w:asciiTheme="minorEastAsia" w:hAnsiTheme="minorEastAsia"/>
          <w:sz w:val="28"/>
          <w:szCs w:val="28"/>
        </w:rPr>
      </w:pPr>
    </w:p>
    <w:sectPr>
      <w:footerReference r:id="rId3" w:type="default"/>
      <w:pgSz w:w="11906" w:h="16838"/>
      <w:pgMar w:top="720" w:right="720" w:bottom="72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0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0F2EA6"/>
    <w:multiLevelType w:val="multilevel"/>
    <w:tmpl w:val="780F2EA6"/>
    <w:lvl w:ilvl="0" w:tentative="0">
      <w:start w:val="1"/>
      <w:numFmt w:val="decimal"/>
      <w:lvlText w:val="%1、"/>
      <w:lvlJc w:val="left"/>
      <w:pPr>
        <w:ind w:left="840" w:hanging="420"/>
      </w:pPr>
      <w:rPr>
        <w:rFonts w:hint="eastAsia"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zOTM5N2Q1NjA2NWY3MGNiM2EyODJiY2YwZDg2ODUifQ=="/>
  </w:docVars>
  <w:rsids>
    <w:rsidRoot w:val="72227D4F"/>
    <w:rsid w:val="000C4DE0"/>
    <w:rsid w:val="00237F79"/>
    <w:rsid w:val="002812B2"/>
    <w:rsid w:val="002B0183"/>
    <w:rsid w:val="00371CDB"/>
    <w:rsid w:val="003A6BDB"/>
    <w:rsid w:val="00510277"/>
    <w:rsid w:val="006A016C"/>
    <w:rsid w:val="006A794E"/>
    <w:rsid w:val="007553E5"/>
    <w:rsid w:val="00886DC2"/>
    <w:rsid w:val="00997E42"/>
    <w:rsid w:val="00A0757D"/>
    <w:rsid w:val="00A81EE7"/>
    <w:rsid w:val="00AF34EF"/>
    <w:rsid w:val="00C13DC8"/>
    <w:rsid w:val="00C425E5"/>
    <w:rsid w:val="00D07679"/>
    <w:rsid w:val="00DB08A3"/>
    <w:rsid w:val="029E253F"/>
    <w:rsid w:val="02A7707D"/>
    <w:rsid w:val="03C91D62"/>
    <w:rsid w:val="06AA60DA"/>
    <w:rsid w:val="0CCB2492"/>
    <w:rsid w:val="0EEE5B00"/>
    <w:rsid w:val="136A66E7"/>
    <w:rsid w:val="151471AD"/>
    <w:rsid w:val="19993223"/>
    <w:rsid w:val="1C294A4D"/>
    <w:rsid w:val="1D961CDF"/>
    <w:rsid w:val="2E024D18"/>
    <w:rsid w:val="2F81616A"/>
    <w:rsid w:val="30EC0CA7"/>
    <w:rsid w:val="37034079"/>
    <w:rsid w:val="3756012E"/>
    <w:rsid w:val="3A1A629E"/>
    <w:rsid w:val="3E1A347C"/>
    <w:rsid w:val="4435582D"/>
    <w:rsid w:val="5DDA560A"/>
    <w:rsid w:val="5DFE8AF5"/>
    <w:rsid w:val="65F80C8C"/>
    <w:rsid w:val="6A220F1A"/>
    <w:rsid w:val="6DD0715F"/>
    <w:rsid w:val="72227D4F"/>
    <w:rsid w:val="73230435"/>
    <w:rsid w:val="755E7F99"/>
    <w:rsid w:val="763F6058"/>
    <w:rsid w:val="76756927"/>
    <w:rsid w:val="784A10A7"/>
    <w:rsid w:val="7AF5533A"/>
    <w:rsid w:val="7F7144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unhideWhenUsed/>
    <w:qFormat/>
    <w:uiPriority w:val="99"/>
    <w:pPr>
      <w:spacing w:after="120"/>
    </w:pPr>
  </w:style>
  <w:style w:type="paragraph" w:styleId="6">
    <w:name w:val="Body Text Indent"/>
    <w:basedOn w:val="1"/>
    <w:next w:val="1"/>
    <w:qFormat/>
    <w:uiPriority w:val="0"/>
    <w:pPr>
      <w:spacing w:line="360" w:lineRule="auto"/>
      <w:ind w:firstLine="420" w:firstLineChars="200"/>
      <w:outlineLvl w:val="0"/>
    </w:pPr>
    <w:rPr>
      <w:color w:val="000000"/>
      <w:szCs w:val="24"/>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next w:val="1"/>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0"/>
    <w:rPr>
      <w:rFonts w:asciiTheme="minorHAnsi" w:hAnsiTheme="minorHAnsi" w:eastAsiaTheme="minorEastAsia" w:cstheme="minorBidi"/>
      <w:kern w:val="2"/>
      <w:sz w:val="18"/>
      <w:szCs w:val="18"/>
    </w:rPr>
  </w:style>
  <w:style w:type="character" w:customStyle="1" w:styleId="14">
    <w:name w:val="页脚 字符"/>
    <w:basedOn w:val="12"/>
    <w:link w:val="7"/>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paragraph" w:customStyle="1" w:styleId="16">
    <w:name w:val="正文缩进1"/>
    <w:basedOn w:val="1"/>
    <w:qFormat/>
    <w:uiPriority w:val="0"/>
    <w:pPr>
      <w:widowControl/>
      <w:ind w:firstLine="420"/>
      <w:jc w:val="left"/>
    </w:pPr>
    <w:rPr>
      <w:kern w:val="0"/>
    </w:rPr>
  </w:style>
  <w:style w:type="table" w:customStyle="1" w:styleId="1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883</Words>
  <Characters>925</Characters>
  <Lines>33</Lines>
  <Paragraphs>9</Paragraphs>
  <TotalTime>7</TotalTime>
  <ScaleCrop>false</ScaleCrop>
  <LinksUpToDate>false</LinksUpToDate>
  <CharactersWithSpaces>926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2021-12-07T09:48:00Z</dcterms:created>
  <dc:creator>Administrator</dc:creator>
  <cp:lastModifiedBy>1234</cp:lastModifiedBy>
  <cp:lastPrinted>2023-05-08T03:29:00Z</cp:lastPrinted>
  <dcterms:modified xsi:type="dcterms:W3CDTF">2024-02-19T06:12:22Z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32F2ADF46C9D4EEB82FD2E1163CEEC04_13</vt:lpwstr>
  </property>
</Properties>
</file>