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351"/>
        </w:tabs>
        <w:spacing w:before="37" w:after="11"/>
        <w:jc w:val="center"/>
      </w:pPr>
      <w:r>
        <w:t>综合评分明细表</w:t>
      </w:r>
    </w:p>
    <w:tbl>
      <w:tblPr>
        <w:tblStyle w:val="4"/>
        <w:tblW w:w="94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788"/>
        <w:gridCol w:w="695"/>
        <w:gridCol w:w="6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jc w:val="center"/>
        </w:trPr>
        <w:tc>
          <w:tcPr>
            <w:tcW w:w="518" w:type="dxa"/>
            <w:vAlign w:val="center"/>
          </w:tcPr>
          <w:p>
            <w:pPr>
              <w:pStyle w:val="6"/>
              <w:spacing w:before="3" w:line="398" w:lineRule="exact"/>
              <w:ind w:left="132" w:right="107" w:firstLine="14"/>
              <w:jc w:val="center"/>
              <w:rPr>
                <w:sz w:val="24"/>
              </w:rPr>
            </w:pPr>
            <w:r>
              <w:rPr>
                <w:sz w:val="24"/>
              </w:rPr>
              <w:t>序号</w:t>
            </w:r>
          </w:p>
        </w:tc>
        <w:tc>
          <w:tcPr>
            <w:tcW w:w="1788" w:type="dxa"/>
            <w:vAlign w:val="center"/>
          </w:tcPr>
          <w:p>
            <w:pPr>
              <w:pStyle w:val="6"/>
              <w:spacing w:before="3" w:line="398" w:lineRule="exact"/>
              <w:ind w:left="761" w:right="136" w:hanging="586"/>
              <w:jc w:val="center"/>
              <w:rPr>
                <w:sz w:val="24"/>
              </w:rPr>
            </w:pPr>
            <w:r>
              <w:rPr>
                <w:sz w:val="24"/>
              </w:rPr>
              <w:t>评分因素及权重</w:t>
            </w:r>
          </w:p>
        </w:tc>
        <w:tc>
          <w:tcPr>
            <w:tcW w:w="695" w:type="dxa"/>
            <w:vAlign w:val="center"/>
          </w:tcPr>
          <w:p>
            <w:pPr>
              <w:pStyle w:val="6"/>
              <w:spacing w:before="3" w:line="398" w:lineRule="exact"/>
              <w:ind w:left="211" w:right="186" w:firstLine="12"/>
              <w:jc w:val="center"/>
              <w:rPr>
                <w:sz w:val="24"/>
              </w:rPr>
            </w:pPr>
            <w:r>
              <w:rPr>
                <w:sz w:val="24"/>
              </w:rPr>
              <w:t>分值</w:t>
            </w:r>
          </w:p>
        </w:tc>
        <w:tc>
          <w:tcPr>
            <w:tcW w:w="6448" w:type="dxa"/>
            <w:vAlign w:val="center"/>
          </w:tcPr>
          <w:p>
            <w:pPr>
              <w:pStyle w:val="6"/>
              <w:spacing w:before="12"/>
              <w:jc w:val="center"/>
              <w:rPr>
                <w:b/>
                <w:sz w:val="21"/>
              </w:rPr>
            </w:pPr>
          </w:p>
          <w:p>
            <w:pPr>
              <w:pStyle w:val="6"/>
              <w:ind w:left="2663" w:right="2626"/>
              <w:jc w:val="center"/>
              <w:rPr>
                <w:sz w:val="24"/>
              </w:rPr>
            </w:pPr>
            <w:r>
              <w:rPr>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7" w:hRule="atLeast"/>
          <w:jc w:val="center"/>
        </w:trPr>
        <w:tc>
          <w:tcPr>
            <w:tcW w:w="518" w:type="dxa"/>
            <w:vAlign w:val="center"/>
          </w:tcPr>
          <w:p>
            <w:pPr>
              <w:pStyle w:val="6"/>
              <w:jc w:val="center"/>
              <w:rPr>
                <w:sz w:val="24"/>
              </w:rPr>
            </w:pPr>
            <w:r>
              <w:rPr>
                <w:sz w:val="24"/>
              </w:rPr>
              <w:t>1</w:t>
            </w:r>
          </w:p>
        </w:tc>
        <w:tc>
          <w:tcPr>
            <w:tcW w:w="1788" w:type="dxa"/>
            <w:vAlign w:val="center"/>
          </w:tcPr>
          <w:p>
            <w:pPr>
              <w:pStyle w:val="6"/>
              <w:jc w:val="center"/>
              <w:rPr>
                <w:sz w:val="24"/>
              </w:rPr>
            </w:pPr>
            <w:r>
              <w:rPr>
                <w:sz w:val="24"/>
              </w:rPr>
              <w:t>报价</w:t>
            </w:r>
            <w:r>
              <w:rPr>
                <w:sz w:val="24"/>
                <w:lang w:val="en-US"/>
              </w:rPr>
              <w:t>3</w:t>
            </w:r>
            <w:r>
              <w:rPr>
                <w:rFonts w:hint="eastAsia"/>
                <w:sz w:val="24"/>
                <w:lang w:val="en-US"/>
              </w:rPr>
              <w:t>0</w:t>
            </w:r>
            <w:r>
              <w:rPr>
                <w:sz w:val="24"/>
              </w:rPr>
              <w:t>%</w:t>
            </w:r>
          </w:p>
        </w:tc>
        <w:tc>
          <w:tcPr>
            <w:tcW w:w="695" w:type="dxa"/>
            <w:vAlign w:val="center"/>
          </w:tcPr>
          <w:p>
            <w:pPr>
              <w:pStyle w:val="6"/>
              <w:spacing w:before="93"/>
              <w:jc w:val="center"/>
              <w:rPr>
                <w:sz w:val="24"/>
              </w:rPr>
            </w:pPr>
            <w:r>
              <w:rPr>
                <w:sz w:val="24"/>
                <w:lang w:val="en-US"/>
              </w:rPr>
              <w:t>3</w:t>
            </w:r>
            <w:r>
              <w:rPr>
                <w:rFonts w:hint="eastAsia"/>
                <w:sz w:val="24"/>
                <w:lang w:val="en-US"/>
              </w:rPr>
              <w:t>0</w:t>
            </w:r>
            <w:r>
              <w:rPr>
                <w:sz w:val="24"/>
              </w:rPr>
              <w:t>分</w:t>
            </w:r>
          </w:p>
        </w:tc>
        <w:tc>
          <w:tcPr>
            <w:tcW w:w="6448" w:type="dxa"/>
            <w:vAlign w:val="center"/>
          </w:tcPr>
          <w:p>
            <w:pPr>
              <w:pStyle w:val="6"/>
              <w:spacing w:before="81" w:line="312" w:lineRule="auto"/>
              <w:ind w:left="108" w:right="179"/>
              <w:jc w:val="center"/>
              <w:rPr>
                <w:spacing w:val="-6"/>
                <w:sz w:val="24"/>
              </w:rPr>
            </w:pPr>
            <w:r>
              <w:rPr>
                <w:rFonts w:hint="eastAsia"/>
                <w:spacing w:val="-6"/>
                <w:sz w:val="24"/>
              </w:rPr>
              <w:t>以满足</w:t>
            </w:r>
            <w:r>
              <w:rPr>
                <w:rFonts w:hint="eastAsia"/>
                <w:spacing w:val="-6"/>
                <w:sz w:val="24"/>
                <w:lang w:eastAsia="zh-CN"/>
              </w:rPr>
              <w:t>比选</w:t>
            </w:r>
            <w:r>
              <w:rPr>
                <w:rFonts w:hint="eastAsia"/>
                <w:spacing w:val="-6"/>
                <w:sz w:val="24"/>
              </w:rPr>
              <w:t>文件要求且</w:t>
            </w:r>
            <w:r>
              <w:rPr>
                <w:rFonts w:hint="eastAsia"/>
                <w:spacing w:val="-6"/>
                <w:sz w:val="24"/>
                <w:lang w:eastAsia="zh-CN"/>
              </w:rPr>
              <w:t>比选</w:t>
            </w:r>
            <w:r>
              <w:rPr>
                <w:rFonts w:hint="eastAsia"/>
                <w:spacing w:val="-6"/>
                <w:sz w:val="24"/>
              </w:rPr>
              <w:t>价格最低的</w:t>
            </w:r>
            <w:r>
              <w:rPr>
                <w:rFonts w:hint="eastAsia"/>
                <w:spacing w:val="-6"/>
                <w:sz w:val="24"/>
                <w:lang w:eastAsia="zh-CN"/>
              </w:rPr>
              <w:t>比选</w:t>
            </w:r>
            <w:r>
              <w:rPr>
                <w:rFonts w:hint="eastAsia"/>
                <w:spacing w:val="-6"/>
                <w:sz w:val="24"/>
              </w:rPr>
              <w:t>报价为评标基准价，其价格分为满分。其他供应商的价格分统一按照下列公式计算：</w:t>
            </w:r>
            <w:r>
              <w:rPr>
                <w:rFonts w:hint="eastAsia"/>
                <w:spacing w:val="-6"/>
                <w:sz w:val="24"/>
                <w:lang w:eastAsia="zh-CN"/>
              </w:rPr>
              <w:t>比选</w:t>
            </w:r>
            <w:r>
              <w:rPr>
                <w:rFonts w:hint="eastAsia"/>
                <w:spacing w:val="-6"/>
                <w:sz w:val="24"/>
              </w:rPr>
              <w:t>报价得分=(评标基准价／</w:t>
            </w:r>
            <w:r>
              <w:rPr>
                <w:rFonts w:hint="eastAsia"/>
                <w:spacing w:val="-6"/>
                <w:sz w:val="24"/>
                <w:lang w:eastAsia="zh-CN"/>
              </w:rPr>
              <w:t>比选</w:t>
            </w:r>
            <w:r>
              <w:rPr>
                <w:rFonts w:hint="eastAsia"/>
                <w:spacing w:val="-6"/>
                <w:sz w:val="24"/>
              </w:rPr>
              <w:t xml:space="preserve">报价)× </w:t>
            </w:r>
            <w:r>
              <w:rPr>
                <w:spacing w:val="-6"/>
                <w:sz w:val="24"/>
                <w:lang w:val="en-US"/>
              </w:rPr>
              <w:t>3</w:t>
            </w:r>
            <w:r>
              <w:rPr>
                <w:rFonts w:hint="eastAsia"/>
                <w:spacing w:val="-6"/>
                <w:sz w:val="24"/>
                <w:lang w:val="en-US"/>
              </w:rPr>
              <w:t>0</w:t>
            </w:r>
            <w:r>
              <w:rPr>
                <w:rFonts w:hint="eastAsia"/>
                <w:spacing w:val="-6"/>
                <w:sz w:val="24"/>
              </w:rPr>
              <w:t>。</w:t>
            </w:r>
          </w:p>
          <w:p>
            <w:pPr>
              <w:pStyle w:val="6"/>
              <w:spacing w:before="3" w:line="298" w:lineRule="exact"/>
              <w:ind w:left="10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18" w:type="dxa"/>
            <w:vAlign w:val="center"/>
          </w:tcPr>
          <w:p>
            <w:pPr>
              <w:pStyle w:val="6"/>
              <w:jc w:val="center"/>
              <w:rPr>
                <w:sz w:val="24"/>
              </w:rPr>
            </w:pPr>
            <w:r>
              <w:rPr>
                <w:sz w:val="24"/>
              </w:rPr>
              <w:t>2</w:t>
            </w:r>
          </w:p>
        </w:tc>
        <w:tc>
          <w:tcPr>
            <w:tcW w:w="1788" w:type="dxa"/>
            <w:vAlign w:val="center"/>
          </w:tcPr>
          <w:p>
            <w:pPr>
              <w:pStyle w:val="6"/>
              <w:spacing w:before="158" w:line="312" w:lineRule="auto"/>
              <w:ind w:right="203"/>
              <w:jc w:val="center"/>
              <w:rPr>
                <w:sz w:val="24"/>
                <w:lang w:val="en-US"/>
              </w:rPr>
            </w:pPr>
            <w:r>
              <w:rPr>
                <w:sz w:val="24"/>
              </w:rPr>
              <w:t>人员配置</w:t>
            </w:r>
            <w:r>
              <w:rPr>
                <w:sz w:val="24"/>
                <w:lang w:val="en-US"/>
              </w:rPr>
              <w:t>30</w:t>
            </w:r>
            <w:r>
              <w:rPr>
                <w:sz w:val="24"/>
              </w:rPr>
              <w:t>%</w:t>
            </w:r>
          </w:p>
        </w:tc>
        <w:tc>
          <w:tcPr>
            <w:tcW w:w="695" w:type="dxa"/>
            <w:vAlign w:val="center"/>
          </w:tcPr>
          <w:p>
            <w:pPr>
              <w:pStyle w:val="6"/>
              <w:spacing w:before="93"/>
              <w:jc w:val="center"/>
              <w:rPr>
                <w:sz w:val="24"/>
              </w:rPr>
            </w:pPr>
            <w:r>
              <w:rPr>
                <w:rFonts w:hint="eastAsia"/>
                <w:sz w:val="24"/>
                <w:lang w:val="en-US"/>
              </w:rPr>
              <w:t>30</w:t>
            </w:r>
            <w:r>
              <w:rPr>
                <w:sz w:val="24"/>
              </w:rPr>
              <w:t>分</w:t>
            </w:r>
          </w:p>
        </w:tc>
        <w:tc>
          <w:tcPr>
            <w:tcW w:w="6448" w:type="dxa"/>
            <w:vAlign w:val="center"/>
          </w:tcPr>
          <w:p>
            <w:pPr>
              <w:widowControl/>
              <w:autoSpaceDE/>
              <w:autoSpaceDN/>
              <w:spacing w:line="360" w:lineRule="auto"/>
              <w:jc w:val="center"/>
              <w:rPr>
                <w:rFonts w:hint="eastAsia"/>
                <w:spacing w:val="-6"/>
                <w:sz w:val="24"/>
                <w:lang w:val="en-US"/>
              </w:rPr>
            </w:pPr>
            <w:r>
              <w:rPr>
                <w:rFonts w:hint="eastAsia"/>
                <w:spacing w:val="-6"/>
                <w:sz w:val="24"/>
                <w:lang w:val="en-US"/>
              </w:rPr>
              <w:t>1、</w:t>
            </w:r>
            <w:r>
              <w:rPr>
                <w:rFonts w:hint="eastAsia"/>
                <w:spacing w:val="-6"/>
                <w:sz w:val="24"/>
              </w:rPr>
              <w:t>项目负责人：具有</w:t>
            </w:r>
            <w:r>
              <w:rPr>
                <w:rFonts w:hint="eastAsia"/>
                <w:spacing w:val="-6"/>
                <w:sz w:val="24"/>
                <w:lang w:val="en-US"/>
              </w:rPr>
              <w:t>注册岩土工程师得</w:t>
            </w:r>
            <w:r>
              <w:rPr>
                <w:spacing w:val="-6"/>
                <w:sz w:val="24"/>
                <w:lang w:val="en-US"/>
              </w:rPr>
              <w:t>5</w:t>
            </w:r>
            <w:r>
              <w:rPr>
                <w:rFonts w:hint="eastAsia"/>
                <w:spacing w:val="-6"/>
                <w:sz w:val="24"/>
                <w:lang w:val="en-US"/>
              </w:rPr>
              <w:t>分，具有一级注册结构工程师得5分，具有注册咨询工程师得</w:t>
            </w:r>
            <w:r>
              <w:rPr>
                <w:spacing w:val="-6"/>
                <w:sz w:val="24"/>
                <w:lang w:val="en-US"/>
              </w:rPr>
              <w:t>10</w:t>
            </w:r>
            <w:r>
              <w:rPr>
                <w:rFonts w:hint="eastAsia"/>
                <w:spacing w:val="-6"/>
                <w:sz w:val="24"/>
                <w:lang w:val="en-US"/>
              </w:rPr>
              <w:t>分，</w:t>
            </w:r>
            <w:r>
              <w:rPr>
                <w:rFonts w:hint="eastAsia"/>
                <w:spacing w:val="-6"/>
                <w:sz w:val="24"/>
              </w:rPr>
              <w:t>本项最</w:t>
            </w:r>
            <w:r>
              <w:rPr>
                <w:rFonts w:hint="eastAsia"/>
                <w:spacing w:val="-6"/>
                <w:sz w:val="24"/>
                <w:lang w:val="en-US"/>
              </w:rPr>
              <w:t>高</w:t>
            </w:r>
            <w:r>
              <w:rPr>
                <w:rFonts w:hint="eastAsia"/>
                <w:spacing w:val="-6"/>
                <w:sz w:val="24"/>
              </w:rPr>
              <w:t>得</w:t>
            </w:r>
            <w:r>
              <w:rPr>
                <w:spacing w:val="-6"/>
                <w:sz w:val="24"/>
              </w:rPr>
              <w:t>20</w:t>
            </w:r>
            <w:r>
              <w:rPr>
                <w:rFonts w:hint="eastAsia"/>
                <w:spacing w:val="-6"/>
                <w:sz w:val="24"/>
              </w:rPr>
              <w:t>分。</w:t>
            </w:r>
          </w:p>
          <w:p>
            <w:pPr>
              <w:widowControl/>
              <w:autoSpaceDE/>
              <w:autoSpaceDN/>
              <w:spacing w:line="360" w:lineRule="auto"/>
              <w:jc w:val="center"/>
              <w:rPr>
                <w:spacing w:val="-6"/>
                <w:sz w:val="24"/>
                <w:lang w:val="en-US"/>
              </w:rPr>
            </w:pPr>
            <w:r>
              <w:rPr>
                <w:spacing w:val="-6"/>
                <w:sz w:val="24"/>
                <w:lang w:val="en-US"/>
              </w:rPr>
              <w:t>2</w:t>
            </w:r>
            <w:r>
              <w:rPr>
                <w:rFonts w:hint="eastAsia"/>
                <w:spacing w:val="-6"/>
                <w:sz w:val="24"/>
                <w:lang w:val="en-US"/>
              </w:rPr>
              <w:t>、</w:t>
            </w:r>
            <w:r>
              <w:rPr>
                <w:rFonts w:hint="eastAsia"/>
                <w:spacing w:val="-6"/>
                <w:sz w:val="24"/>
              </w:rPr>
              <w:t>专业</w:t>
            </w:r>
            <w:r>
              <w:rPr>
                <w:rFonts w:hint="eastAsia"/>
                <w:spacing w:val="-6"/>
                <w:sz w:val="24"/>
                <w:lang w:val="en-US"/>
              </w:rPr>
              <w:t>负责人：具有高级工程师职称得</w:t>
            </w:r>
            <w:r>
              <w:rPr>
                <w:spacing w:val="-6"/>
                <w:sz w:val="24"/>
                <w:lang w:val="en-US"/>
              </w:rPr>
              <w:t>5</w:t>
            </w:r>
            <w:r>
              <w:rPr>
                <w:rFonts w:hint="eastAsia"/>
                <w:spacing w:val="-6"/>
                <w:sz w:val="24"/>
                <w:lang w:val="en-US"/>
              </w:rPr>
              <w:t>分，</w:t>
            </w:r>
            <w:r>
              <w:rPr>
                <w:rFonts w:hint="eastAsia"/>
                <w:spacing w:val="-6"/>
                <w:sz w:val="24"/>
              </w:rPr>
              <w:t>具有一级</w:t>
            </w:r>
            <w:r>
              <w:rPr>
                <w:rFonts w:hint="eastAsia"/>
                <w:spacing w:val="-6"/>
                <w:sz w:val="24"/>
                <w:lang w:val="en-US"/>
              </w:rPr>
              <w:t>注册建筑工程师加</w:t>
            </w:r>
            <w:r>
              <w:rPr>
                <w:spacing w:val="-6"/>
                <w:sz w:val="24"/>
                <w:lang w:val="en-US"/>
              </w:rPr>
              <w:t>5</w:t>
            </w:r>
            <w:r>
              <w:rPr>
                <w:rFonts w:hint="eastAsia"/>
                <w:spacing w:val="-6"/>
                <w:sz w:val="24"/>
              </w:rPr>
              <w:t>分，本项最</w:t>
            </w:r>
            <w:r>
              <w:rPr>
                <w:rFonts w:hint="eastAsia"/>
                <w:spacing w:val="-6"/>
                <w:sz w:val="24"/>
                <w:lang w:val="en-US"/>
              </w:rPr>
              <w:t>高</w:t>
            </w:r>
            <w:r>
              <w:rPr>
                <w:rFonts w:hint="eastAsia"/>
                <w:spacing w:val="-6"/>
                <w:sz w:val="24"/>
              </w:rPr>
              <w:t>得</w:t>
            </w:r>
            <w:r>
              <w:rPr>
                <w:spacing w:val="-6"/>
                <w:sz w:val="24"/>
                <w:lang w:val="en-US"/>
              </w:rPr>
              <w:t>10</w:t>
            </w:r>
            <w:r>
              <w:rPr>
                <w:rFonts w:hint="eastAsia"/>
                <w:spacing w:val="-6"/>
                <w:sz w:val="24"/>
              </w:rPr>
              <w:t>分。</w:t>
            </w:r>
          </w:p>
          <w:p>
            <w:pPr>
              <w:widowControl/>
              <w:autoSpaceDE/>
              <w:autoSpaceDN/>
              <w:spacing w:line="360" w:lineRule="auto"/>
              <w:jc w:val="center"/>
              <w:rPr>
                <w:sz w:val="24"/>
              </w:rPr>
            </w:pPr>
            <w:r>
              <w:rPr>
                <w:rFonts w:hint="eastAsia"/>
                <w:spacing w:val="-6"/>
                <w:sz w:val="24"/>
                <w:lang w:val="en-US"/>
              </w:rPr>
              <w:t>注：以上人员应为一人，且须提供证书复印件，人员注册证书应附相关主管部门的注册查询页截图。省外勘察、设计企业的项目人员配备必须是入川备案人员，注册类人员须是入川备案人员，均须附四川省住房和城乡建设行业数据共享平台网页查询件方可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18" w:type="dxa"/>
            <w:vAlign w:val="center"/>
          </w:tcPr>
          <w:p>
            <w:pPr>
              <w:pStyle w:val="6"/>
              <w:jc w:val="center"/>
              <w:rPr>
                <w:sz w:val="24"/>
              </w:rPr>
            </w:pPr>
            <w:r>
              <w:rPr>
                <w:rFonts w:hint="eastAsia"/>
                <w:sz w:val="24"/>
              </w:rPr>
              <w:t>3</w:t>
            </w:r>
          </w:p>
        </w:tc>
        <w:tc>
          <w:tcPr>
            <w:tcW w:w="1788" w:type="dxa"/>
            <w:vAlign w:val="center"/>
          </w:tcPr>
          <w:p>
            <w:pPr>
              <w:pStyle w:val="6"/>
              <w:spacing w:before="158" w:line="312" w:lineRule="auto"/>
              <w:ind w:right="203"/>
              <w:jc w:val="center"/>
              <w:rPr>
                <w:sz w:val="24"/>
              </w:rPr>
            </w:pPr>
            <w:r>
              <w:rPr>
                <w:sz w:val="24"/>
              </w:rPr>
              <w:t>企业综合实力</w:t>
            </w:r>
            <w:r>
              <w:rPr>
                <w:sz w:val="24"/>
                <w:lang w:val="en-US"/>
              </w:rPr>
              <w:t>2</w:t>
            </w:r>
            <w:r>
              <w:rPr>
                <w:rFonts w:hint="eastAsia"/>
                <w:sz w:val="24"/>
                <w:lang w:val="en-US"/>
              </w:rPr>
              <w:t>0</w:t>
            </w:r>
            <w:r>
              <w:rPr>
                <w:sz w:val="24"/>
              </w:rPr>
              <w:t>%</w:t>
            </w:r>
          </w:p>
        </w:tc>
        <w:tc>
          <w:tcPr>
            <w:tcW w:w="695" w:type="dxa"/>
            <w:vAlign w:val="center"/>
          </w:tcPr>
          <w:p>
            <w:pPr>
              <w:pStyle w:val="6"/>
              <w:spacing w:before="93"/>
              <w:jc w:val="center"/>
              <w:rPr>
                <w:rFonts w:hint="eastAsia"/>
                <w:sz w:val="24"/>
                <w:lang w:val="en-US"/>
              </w:rPr>
            </w:pPr>
            <w:r>
              <w:rPr>
                <w:rFonts w:hint="eastAsia"/>
                <w:sz w:val="24"/>
                <w:lang w:val="en-US"/>
              </w:rPr>
              <w:t>2</w:t>
            </w:r>
            <w:r>
              <w:rPr>
                <w:sz w:val="24"/>
                <w:lang w:val="en-US"/>
              </w:rPr>
              <w:t>0</w:t>
            </w:r>
            <w:r>
              <w:rPr>
                <w:rFonts w:hint="eastAsia"/>
                <w:sz w:val="24"/>
                <w:lang w:val="en-US"/>
              </w:rPr>
              <w:t>分</w:t>
            </w:r>
          </w:p>
        </w:tc>
        <w:tc>
          <w:tcPr>
            <w:tcW w:w="6448" w:type="dxa"/>
            <w:vAlign w:val="center"/>
          </w:tcPr>
          <w:p>
            <w:pPr>
              <w:pStyle w:val="6"/>
              <w:spacing w:before="146"/>
              <w:ind w:left="108"/>
              <w:jc w:val="center"/>
              <w:rPr>
                <w:sz w:val="24"/>
              </w:rPr>
            </w:pPr>
            <w:r>
              <w:rPr>
                <w:rFonts w:hint="eastAsia"/>
                <w:sz w:val="24"/>
                <w:lang w:val="en-US"/>
              </w:rPr>
              <w:t>1、</w:t>
            </w:r>
            <w:r>
              <w:rPr>
                <w:sz w:val="24"/>
              </w:rPr>
              <w:t>投标人具有</w:t>
            </w:r>
            <w:r>
              <w:rPr>
                <w:rFonts w:hint="eastAsia"/>
                <w:sz w:val="24"/>
              </w:rPr>
              <w:t>建筑工程（建筑</w:t>
            </w:r>
            <w:r>
              <w:rPr>
                <w:sz w:val="24"/>
              </w:rPr>
              <w:t>行业</w:t>
            </w:r>
            <w:r>
              <w:rPr>
                <w:rFonts w:hint="eastAsia"/>
                <w:sz w:val="24"/>
              </w:rPr>
              <w:t>）</w:t>
            </w:r>
            <w:r>
              <w:rPr>
                <w:sz w:val="24"/>
              </w:rPr>
              <w:t>乙级设计资质</w:t>
            </w:r>
            <w:r>
              <w:rPr>
                <w:rFonts w:hint="eastAsia"/>
                <w:sz w:val="24"/>
              </w:rPr>
              <w:t>（及以上）</w:t>
            </w:r>
            <w:r>
              <w:rPr>
                <w:sz w:val="24"/>
              </w:rPr>
              <w:t>的得</w:t>
            </w:r>
            <w:r>
              <w:rPr>
                <w:sz w:val="24"/>
                <w:lang w:val="en-US"/>
              </w:rPr>
              <w:t>10</w:t>
            </w:r>
            <w:r>
              <w:rPr>
                <w:sz w:val="24"/>
              </w:rPr>
              <w:t>分，</w:t>
            </w:r>
            <w:r>
              <w:rPr>
                <w:rFonts w:hint="eastAsia"/>
                <w:sz w:val="24"/>
                <w:lang w:val="en-US"/>
              </w:rPr>
              <w:t>具有“全国投资项目在线审批监管平台”备案的工程咨询，且备案专业为“建筑”和服务范围为“项目咨询”得</w:t>
            </w:r>
            <w:r>
              <w:rPr>
                <w:sz w:val="24"/>
                <w:lang w:val="en-US"/>
              </w:rPr>
              <w:t>10</w:t>
            </w:r>
            <w:r>
              <w:rPr>
                <w:rFonts w:hint="eastAsia"/>
                <w:sz w:val="24"/>
                <w:lang w:val="en-US"/>
              </w:rPr>
              <w:t>分。满分</w:t>
            </w:r>
            <w:r>
              <w:rPr>
                <w:sz w:val="24"/>
                <w:lang w:val="en-US"/>
              </w:rPr>
              <w:t>2</w:t>
            </w:r>
            <w:r>
              <w:rPr>
                <w:rFonts w:hint="eastAsia"/>
                <w:sz w:val="24"/>
                <w:lang w:val="en-US"/>
              </w:rPr>
              <w:t>0分。</w:t>
            </w:r>
          </w:p>
          <w:p>
            <w:pPr>
              <w:widowControl/>
              <w:autoSpaceDE/>
              <w:autoSpaceDN/>
              <w:spacing w:line="360" w:lineRule="auto"/>
              <w:jc w:val="center"/>
              <w:rPr>
                <w:rFonts w:hint="eastAsia"/>
                <w:spacing w:val="-6"/>
                <w:sz w:val="24"/>
                <w:lang w:val="en-US"/>
              </w:rPr>
            </w:pPr>
            <w:r>
              <w:rPr>
                <w:sz w:val="24"/>
              </w:rPr>
              <w:t>注：供应商应提供相关证明材料并加盖供应商单位公章，否则相应得分项不得分。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18" w:type="dxa"/>
            <w:vAlign w:val="center"/>
          </w:tcPr>
          <w:p>
            <w:pPr>
              <w:pStyle w:val="6"/>
              <w:jc w:val="center"/>
              <w:rPr>
                <w:rFonts w:hint="eastAsia"/>
                <w:sz w:val="24"/>
              </w:rPr>
            </w:pPr>
            <w:r>
              <w:rPr>
                <w:rFonts w:hint="eastAsia"/>
                <w:sz w:val="24"/>
              </w:rPr>
              <w:t>4</w:t>
            </w:r>
          </w:p>
        </w:tc>
        <w:tc>
          <w:tcPr>
            <w:tcW w:w="1788" w:type="dxa"/>
            <w:vAlign w:val="center"/>
          </w:tcPr>
          <w:p>
            <w:pPr>
              <w:pStyle w:val="6"/>
              <w:spacing w:before="158" w:line="312" w:lineRule="auto"/>
              <w:ind w:right="203"/>
              <w:jc w:val="center"/>
              <w:rPr>
                <w:sz w:val="24"/>
              </w:rPr>
            </w:pPr>
            <w:r>
              <w:rPr>
                <w:sz w:val="24"/>
              </w:rPr>
              <w:t>履约能力</w:t>
            </w:r>
            <w:r>
              <w:rPr>
                <w:sz w:val="24"/>
                <w:lang w:val="en-US"/>
              </w:rPr>
              <w:t>1</w:t>
            </w:r>
            <w:r>
              <w:rPr>
                <w:rFonts w:hint="eastAsia"/>
                <w:sz w:val="24"/>
                <w:lang w:val="en-US"/>
              </w:rPr>
              <w:t>5</w:t>
            </w:r>
            <w:r>
              <w:rPr>
                <w:sz w:val="24"/>
              </w:rPr>
              <w:t>%</w:t>
            </w:r>
          </w:p>
        </w:tc>
        <w:tc>
          <w:tcPr>
            <w:tcW w:w="695" w:type="dxa"/>
            <w:vAlign w:val="center"/>
          </w:tcPr>
          <w:p>
            <w:pPr>
              <w:pStyle w:val="6"/>
              <w:spacing w:before="93"/>
              <w:jc w:val="center"/>
              <w:rPr>
                <w:rFonts w:hint="eastAsia"/>
                <w:sz w:val="24"/>
                <w:lang w:val="en-US"/>
              </w:rPr>
            </w:pPr>
            <w:r>
              <w:rPr>
                <w:rFonts w:hint="eastAsia"/>
                <w:sz w:val="24"/>
                <w:lang w:val="en-US"/>
              </w:rPr>
              <w:t>15</w:t>
            </w:r>
            <w:r>
              <w:rPr>
                <w:sz w:val="24"/>
              </w:rPr>
              <w:t>分</w:t>
            </w:r>
          </w:p>
        </w:tc>
        <w:tc>
          <w:tcPr>
            <w:tcW w:w="6448" w:type="dxa"/>
            <w:vAlign w:val="center"/>
          </w:tcPr>
          <w:p>
            <w:pPr>
              <w:pStyle w:val="6"/>
              <w:spacing w:before="156"/>
              <w:ind w:left="108"/>
              <w:jc w:val="center"/>
              <w:rPr>
                <w:sz w:val="24"/>
              </w:rPr>
            </w:pPr>
            <w:r>
              <w:rPr>
                <w:sz w:val="24"/>
              </w:rPr>
              <w:t>20</w:t>
            </w:r>
            <w:r>
              <w:rPr>
                <w:rFonts w:hint="eastAsia"/>
                <w:sz w:val="24"/>
                <w:lang w:val="en-US"/>
              </w:rPr>
              <w:t>20</w:t>
            </w:r>
            <w:r>
              <w:rPr>
                <w:spacing w:val="-20"/>
                <w:sz w:val="24"/>
              </w:rPr>
              <w:t xml:space="preserve"> 年 </w:t>
            </w:r>
            <w:r>
              <w:rPr>
                <w:sz w:val="24"/>
              </w:rPr>
              <w:t>1</w:t>
            </w:r>
            <w:r>
              <w:rPr>
                <w:spacing w:val="-40"/>
                <w:sz w:val="24"/>
              </w:rPr>
              <w:t xml:space="preserve"> 月 </w:t>
            </w:r>
            <w:r>
              <w:rPr>
                <w:sz w:val="24"/>
              </w:rPr>
              <w:t>1</w:t>
            </w:r>
            <w:r>
              <w:rPr>
                <w:spacing w:val="-8"/>
                <w:sz w:val="24"/>
              </w:rPr>
              <w:t xml:space="preserve"> 日以来具备</w:t>
            </w:r>
            <w:r>
              <w:rPr>
                <w:sz w:val="24"/>
              </w:rPr>
              <w:t xml:space="preserve">类似项目业绩的得 </w:t>
            </w:r>
            <w:r>
              <w:rPr>
                <w:rFonts w:hint="eastAsia"/>
                <w:sz w:val="24"/>
                <w:lang w:val="en-US"/>
              </w:rPr>
              <w:t>5</w:t>
            </w:r>
            <w:r>
              <w:rPr>
                <w:sz w:val="24"/>
              </w:rPr>
              <w:t xml:space="preserve">分，本项满分 </w:t>
            </w:r>
            <w:r>
              <w:rPr>
                <w:rFonts w:hint="eastAsia"/>
                <w:sz w:val="24"/>
                <w:lang w:val="en-US"/>
              </w:rPr>
              <w:t>15</w:t>
            </w:r>
            <w:r>
              <w:rPr>
                <w:sz w:val="24"/>
              </w:rPr>
              <w:t>分。</w:t>
            </w:r>
          </w:p>
          <w:p>
            <w:pPr>
              <w:pStyle w:val="6"/>
              <w:spacing w:before="93" w:line="312" w:lineRule="auto"/>
              <w:ind w:left="108" w:right="179"/>
              <w:jc w:val="center"/>
              <w:rPr>
                <w:sz w:val="24"/>
              </w:rPr>
            </w:pPr>
            <w:r>
              <w:rPr>
                <w:sz w:val="24"/>
              </w:rPr>
              <w:t>注：需提供中标（成交）通知书复印件及项目合同复印件并加盖供应商单位公章作为证明材料，不提供证明材料的</w:t>
            </w:r>
          </w:p>
          <w:p>
            <w:pPr>
              <w:pStyle w:val="6"/>
              <w:spacing w:before="146"/>
              <w:ind w:left="108"/>
              <w:jc w:val="center"/>
              <w:rPr>
                <w:rFonts w:hint="eastAsia"/>
                <w:sz w:val="24"/>
                <w:lang w:val="en-US"/>
              </w:rPr>
            </w:pPr>
            <w:r>
              <w:rPr>
                <w:sz w:val="24"/>
              </w:rPr>
              <w:t>不得分。业绩时间以合同签订时间为准。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18" w:type="dxa"/>
            <w:vAlign w:val="center"/>
          </w:tcPr>
          <w:p>
            <w:pPr>
              <w:pStyle w:val="6"/>
              <w:jc w:val="center"/>
              <w:rPr>
                <w:rFonts w:hint="eastAsia"/>
                <w:sz w:val="24"/>
              </w:rPr>
            </w:pPr>
            <w:r>
              <w:rPr>
                <w:rFonts w:hint="eastAsia"/>
                <w:sz w:val="24"/>
              </w:rPr>
              <w:t>5</w:t>
            </w:r>
          </w:p>
        </w:tc>
        <w:tc>
          <w:tcPr>
            <w:tcW w:w="1788" w:type="dxa"/>
            <w:vAlign w:val="center"/>
          </w:tcPr>
          <w:p>
            <w:pPr>
              <w:pStyle w:val="6"/>
              <w:spacing w:before="158" w:line="312" w:lineRule="auto"/>
              <w:ind w:right="203"/>
              <w:jc w:val="center"/>
              <w:rPr>
                <w:sz w:val="24"/>
              </w:rPr>
            </w:pPr>
            <w:r>
              <w:rPr>
                <w:sz w:val="24"/>
              </w:rPr>
              <w:t>响应文件的规范性</w:t>
            </w:r>
            <w:r>
              <w:rPr>
                <w:sz w:val="24"/>
                <w:lang w:val="en-US"/>
              </w:rPr>
              <w:t>5</w:t>
            </w:r>
            <w:r>
              <w:rPr>
                <w:sz w:val="24"/>
              </w:rPr>
              <w:t>%</w:t>
            </w:r>
          </w:p>
        </w:tc>
        <w:tc>
          <w:tcPr>
            <w:tcW w:w="695" w:type="dxa"/>
            <w:vAlign w:val="center"/>
          </w:tcPr>
          <w:p>
            <w:pPr>
              <w:pStyle w:val="6"/>
              <w:spacing w:before="93"/>
              <w:jc w:val="center"/>
              <w:rPr>
                <w:rFonts w:hint="eastAsia"/>
                <w:sz w:val="24"/>
                <w:lang w:val="en-US"/>
              </w:rPr>
            </w:pPr>
            <w:r>
              <w:rPr>
                <w:sz w:val="24"/>
                <w:lang w:val="en-US"/>
              </w:rPr>
              <w:t>5</w:t>
            </w:r>
            <w:r>
              <w:rPr>
                <w:sz w:val="24"/>
              </w:rPr>
              <w:t>分</w:t>
            </w:r>
          </w:p>
        </w:tc>
        <w:tc>
          <w:tcPr>
            <w:tcW w:w="6448" w:type="dxa"/>
            <w:vAlign w:val="center"/>
          </w:tcPr>
          <w:p>
            <w:pPr>
              <w:pStyle w:val="6"/>
              <w:spacing w:before="1"/>
              <w:ind w:left="108"/>
              <w:jc w:val="center"/>
              <w:rPr>
                <w:sz w:val="24"/>
              </w:rPr>
            </w:pPr>
            <w:r>
              <w:rPr>
                <w:sz w:val="24"/>
              </w:rPr>
              <w:t>响应文件制作规范，没有细微偏差情形的得</w:t>
            </w:r>
            <w:r>
              <w:rPr>
                <w:sz w:val="24"/>
                <w:lang w:val="en-US"/>
              </w:rPr>
              <w:t>5</w:t>
            </w:r>
            <w:r>
              <w:rPr>
                <w:sz w:val="24"/>
              </w:rPr>
              <w:t>分；有一项</w:t>
            </w:r>
          </w:p>
          <w:p>
            <w:pPr>
              <w:pStyle w:val="6"/>
              <w:spacing w:before="156"/>
              <w:ind w:left="108"/>
              <w:jc w:val="center"/>
              <w:rPr>
                <w:sz w:val="24"/>
              </w:rPr>
            </w:pPr>
            <w:r>
              <w:rPr>
                <w:sz w:val="24"/>
              </w:rPr>
              <w:t>细微偏差扣0.5分，直至该项分值扣完为止。</w:t>
            </w:r>
          </w:p>
        </w:tc>
      </w:tr>
    </w:tbl>
    <w:p>
      <w:pPr>
        <w:jc w:val="center"/>
      </w:pPr>
    </w:p>
    <w:p>
      <w:pPr>
        <w:jc w:val="center"/>
      </w:pPr>
    </w:p>
    <w:p>
      <w:pPr>
        <w:jc w:val="center"/>
      </w:pPr>
    </w:p>
    <w:p>
      <w:pPr>
        <w:jc w:val="center"/>
      </w:pPr>
    </w:p>
    <w:p>
      <w:bookmarkStart w:id="0" w:name="_GoBack"/>
      <w:bookmarkEnd w:id="0"/>
    </w:p>
    <w:sectPr>
      <w:footerReference r:id="rId3" w:type="default"/>
      <w:pgSz w:w="11906" w:h="16838"/>
      <w:pgMar w:top="1123" w:right="782" w:bottom="1100" w:left="9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4"/>
      </w:rPr>
    </w:pPr>
    <w:r>
      <mc:AlternateContent>
        <mc:Choice Requires="wps">
          <w:drawing>
            <wp:anchor distT="0" distB="0" distL="114300" distR="114300" simplePos="0" relativeHeight="251658240" behindDoc="1" locked="0" layoutInCell="1" allowOverlap="1">
              <wp:simplePos x="0" y="0"/>
              <wp:positionH relativeFrom="page">
                <wp:posOffset>3642995</wp:posOffset>
              </wp:positionH>
              <wp:positionV relativeFrom="page">
                <wp:posOffset>9822180</wp:posOffset>
              </wp:positionV>
              <wp:extent cx="272415" cy="2514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2415" cy="251460"/>
                      </a:xfrm>
                      <a:prstGeom prst="rect">
                        <a:avLst/>
                      </a:prstGeom>
                      <a:noFill/>
                      <a:ln>
                        <a:noFill/>
                      </a:ln>
                    </wps:spPr>
                    <wps:txbx>
                      <w:txbxContent>
                        <w:p>
                          <w:pPr>
                            <w:spacing w:before="168"/>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64</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86.85pt;margin-top:773.4pt;height:19.8pt;width:21.45pt;mso-position-horizontal-relative:page;mso-position-vertical-relative:page;z-index:-251658240;mso-width-relative:page;mso-height-relative:page;" filled="f" stroked="f" coordsize="21600,21600" o:gfxdata="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i+cItoAAAANAQAADwAAAAAA&#10;AAABACAAAAAiAAAAZHJzL2Rvd25yZXYueG1sUEsBAhQAFAAAAAgAh07iQI4c3xafAQAAIwMAAA4A&#10;AAAAAAAAAQAgAAAAKQEAAGRycy9lMm9Eb2MueG1sUEsFBgAAAAAGAAYAWQEAADoFAAAAAA==&#10;">
              <v:fill on="f" focussize="0,0"/>
              <v:stroke on="f"/>
              <v:imagedata o:title=""/>
              <o:lock v:ext="edit" aspectratio="f"/>
              <v:textbox inset="0mm,0mm,0mm,0mm">
                <w:txbxContent>
                  <w:p>
                    <w:pPr>
                      <w:spacing w:before="168"/>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64</w:t>
                    </w:r>
                    <w:r>
                      <w:fldChar w:fldCharType="end"/>
                    </w:r>
                    <w:r>
                      <w:rPr>
                        <w:rFonts w:ascii="Times New Roman"/>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AA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3"/>
    <w:basedOn w:val="1"/>
    <w:next w:val="1"/>
    <w:qFormat/>
    <w:uiPriority w:val="1"/>
    <w:pPr>
      <w:ind w:left="553"/>
      <w:outlineLvl w:val="2"/>
    </w:pPr>
    <w:rPr>
      <w:b/>
      <w:bCs/>
      <w:sz w:val="24"/>
      <w:szCs w:val="2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sz w:val="24"/>
      <w:szCs w:val="24"/>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2024-02-19T09:45:12Z</dcterms:created>
  <dc:creator>HP</dc:creator>
  <cp:lastModifiedBy>胥杰</cp:lastModifiedBy>
  <dcterms:modified xsi:type="dcterms:W3CDTF">2024-02-19T09:45:18Z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