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eastAsia="宋体" w:cs="宋体"/>
          <w:b/>
          <w:bCs/>
          <w:sz w:val="36"/>
          <w:szCs w:val="36"/>
        </w:rPr>
      </w:pPr>
      <w:r>
        <w:rPr>
          <w:rFonts w:hint="eastAsia" w:ascii="宋体" w:hAnsi="宋体" w:eastAsia="宋体" w:cs="宋体"/>
          <w:b/>
          <w:bCs/>
          <w:sz w:val="36"/>
          <w:szCs w:val="36"/>
        </w:rPr>
        <w:t>评分标准</w:t>
      </w:r>
    </w:p>
    <w:p>
      <w:pPr>
        <w:spacing w:line="300" w:lineRule="auto"/>
        <w:jc w:val="center"/>
        <w:rPr>
          <w:rFonts w:hint="eastAsia"/>
          <w:b/>
          <w:bCs/>
          <w:sz w:val="24"/>
        </w:rPr>
      </w:pPr>
    </w:p>
    <w:tbl>
      <w:tblPr>
        <w:tblStyle w:val="2"/>
        <w:tblW w:w="8880" w:type="dxa"/>
        <w:jc w:val="center"/>
        <w:tblLayout w:type="fixed"/>
        <w:tblCellMar>
          <w:top w:w="0" w:type="dxa"/>
          <w:left w:w="108" w:type="dxa"/>
          <w:bottom w:w="0" w:type="dxa"/>
          <w:right w:w="108" w:type="dxa"/>
        </w:tblCellMar>
      </w:tblPr>
      <w:tblGrid>
        <w:gridCol w:w="1181"/>
        <w:gridCol w:w="1414"/>
        <w:gridCol w:w="5381"/>
        <w:gridCol w:w="904"/>
      </w:tblGrid>
      <w:tr>
        <w:tblPrEx>
          <w:tblCellMar>
            <w:top w:w="0" w:type="dxa"/>
            <w:left w:w="108" w:type="dxa"/>
            <w:bottom w:w="0" w:type="dxa"/>
            <w:right w:w="108" w:type="dxa"/>
          </w:tblCellMar>
        </w:tblPrEx>
        <w:trPr>
          <w:trHeight w:val="541"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41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评分项目</w:t>
            </w:r>
          </w:p>
        </w:tc>
        <w:tc>
          <w:tcPr>
            <w:tcW w:w="538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评分标准</w:t>
            </w:r>
          </w:p>
        </w:tc>
        <w:tc>
          <w:tcPr>
            <w:tcW w:w="90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分值</w:t>
            </w:r>
          </w:p>
        </w:tc>
      </w:tr>
      <w:tr>
        <w:tblPrEx>
          <w:tblCellMar>
            <w:top w:w="0" w:type="dxa"/>
            <w:left w:w="108" w:type="dxa"/>
            <w:bottom w:w="0" w:type="dxa"/>
            <w:right w:w="108" w:type="dxa"/>
          </w:tblCellMar>
        </w:tblPrEx>
        <w:trPr>
          <w:trHeight w:val="2027" w:hRule="atLeast"/>
          <w:jc w:val="center"/>
        </w:trPr>
        <w:tc>
          <w:tcPr>
            <w:tcW w:w="118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414"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报价</w:t>
            </w:r>
          </w:p>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（项目总价）</w:t>
            </w:r>
          </w:p>
        </w:tc>
        <w:tc>
          <w:tcPr>
            <w:tcW w:w="5381"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以所有比选人的</w:t>
            </w:r>
            <w:r>
              <w:rPr>
                <w:rFonts w:hint="eastAsia" w:ascii="宋体" w:hAnsi="宋体" w:cs="宋体"/>
                <w:kern w:val="0"/>
                <w:sz w:val="21"/>
                <w:szCs w:val="21"/>
                <w:lang w:eastAsia="zh-CN"/>
              </w:rPr>
              <w:t>报</w:t>
            </w:r>
            <w:r>
              <w:rPr>
                <w:rFonts w:hint="eastAsia" w:ascii="宋体" w:hAnsi="宋体" w:eastAsia="宋体" w:cs="宋体"/>
                <w:kern w:val="0"/>
                <w:sz w:val="21"/>
                <w:szCs w:val="21"/>
              </w:rPr>
              <w:t>价的算术平均价格为最优基准价，最优基准价价格评分为满分30分，其他报价的得分计算方式为：低于最优基准价格的，每低1%（不足1%的按1%计算）扣价格总分的0.3分；高于最优基准价格的，每高1%（不足1%的按1%计算）扣价格总分的0.3分,扣完为止。</w:t>
            </w:r>
          </w:p>
        </w:tc>
        <w:tc>
          <w:tcPr>
            <w:tcW w:w="904"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r>
      <w:tr>
        <w:tblPrEx>
          <w:tblCellMar>
            <w:top w:w="0" w:type="dxa"/>
            <w:left w:w="108" w:type="dxa"/>
            <w:bottom w:w="0" w:type="dxa"/>
            <w:right w:w="108" w:type="dxa"/>
          </w:tblCellMar>
        </w:tblPrEx>
        <w:trPr>
          <w:trHeight w:val="824"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41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技术指标及配置</w:t>
            </w:r>
          </w:p>
        </w:tc>
        <w:tc>
          <w:tcPr>
            <w:tcW w:w="5381"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完全符合招标文件各项技术指标要求无负偏离的得</w:t>
            </w:r>
            <w:r>
              <w:rPr>
                <w:rFonts w:hint="eastAsia" w:ascii="宋体" w:hAnsi="宋体" w:eastAsia="宋体" w:cs="宋体"/>
                <w:kern w:val="0"/>
                <w:sz w:val="21"/>
                <w:szCs w:val="21"/>
                <w:lang w:val="en-US" w:eastAsia="zh-CN"/>
              </w:rPr>
              <w:t>28</w:t>
            </w:r>
            <w:r>
              <w:rPr>
                <w:rFonts w:hint="eastAsia" w:ascii="宋体" w:hAnsi="宋体" w:eastAsia="宋体" w:cs="宋体"/>
                <w:kern w:val="0"/>
                <w:sz w:val="21"/>
                <w:szCs w:val="21"/>
              </w:rPr>
              <w:t>分。有一项负偏离的扣</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分，扣完为止。</w:t>
            </w:r>
          </w:p>
        </w:tc>
        <w:tc>
          <w:tcPr>
            <w:tcW w:w="90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w:t>
            </w:r>
          </w:p>
        </w:tc>
      </w:tr>
      <w:tr>
        <w:tblPrEx>
          <w:tblCellMar>
            <w:top w:w="0" w:type="dxa"/>
            <w:left w:w="108" w:type="dxa"/>
            <w:bottom w:w="0" w:type="dxa"/>
            <w:right w:w="108" w:type="dxa"/>
          </w:tblCellMar>
        </w:tblPrEx>
        <w:trPr>
          <w:trHeight w:val="883"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41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履约能力</w:t>
            </w:r>
          </w:p>
        </w:tc>
        <w:tc>
          <w:tcPr>
            <w:tcW w:w="5381" w:type="dxa"/>
            <w:tcBorders>
              <w:top w:val="single" w:color="auto" w:sz="4" w:space="0"/>
              <w:left w:val="nil"/>
              <w:bottom w:val="single" w:color="auto" w:sz="4" w:space="0"/>
              <w:right w:val="single" w:color="auto" w:sz="4" w:space="0"/>
            </w:tcBorders>
          </w:tcPr>
          <w:p>
            <w:pPr>
              <w:pStyle w:val="4"/>
              <w:spacing w:before="115" w:line="360" w:lineRule="auto"/>
              <w:ind w:right="28"/>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1、投标人或产品制造商获得有效期内的质量管理体系认证证书且认证范围必须适用于：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塑料家具</w:t>
            </w:r>
            <w:r>
              <w:rPr>
                <w:rFonts w:hint="eastAsia" w:ascii="宋体" w:hAnsi="宋体" w:eastAsia="宋体" w:cs="宋体"/>
                <w:sz w:val="21"/>
                <w:szCs w:val="21"/>
                <w:lang w:eastAsia="zh-CN"/>
              </w:rPr>
              <w:t>”</w:t>
            </w:r>
            <w:r>
              <w:rPr>
                <w:rFonts w:hint="eastAsia" w:ascii="宋体" w:hAnsi="宋体" w:eastAsia="宋体" w:cs="宋体"/>
                <w:color w:val="000000" w:themeColor="text1"/>
                <w:kern w:val="0"/>
                <w:sz w:val="21"/>
                <w:szCs w:val="21"/>
                <w:lang w:val="en-US" w:eastAsia="zh-CN" w:bidi="ar-SA"/>
                <w14:textFill>
                  <w14:solidFill>
                    <w14:schemeClr w14:val="tx1"/>
                  </w14:solidFill>
                </w14:textFill>
              </w:rPr>
              <w:t>“结构性钢木制品”“木制/质类家具”、“软体类家具”“家具配装组件”的销售、技术支持、回访、安装、客户服务等内容，范围全满足的得3分，不满足的得1分。</w:t>
            </w:r>
          </w:p>
          <w:p>
            <w:pPr>
              <w:pStyle w:val="4"/>
              <w:spacing w:before="115" w:line="360" w:lineRule="auto"/>
              <w:ind w:right="28"/>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投标人或产品制造商获得有效期内的环境管理体系认证证书且认证范围必须适用于：“结构性钢木制品”“塑料家具”“木制/质类家具”、“软体类家具”“家具配装组件”的销售、技术支持、回访、安装、客户服务等内容，范围全满足的得3分，不满足的得1分。</w:t>
            </w:r>
          </w:p>
          <w:p>
            <w:pPr>
              <w:pStyle w:val="4"/>
              <w:spacing w:before="115" w:line="360" w:lineRule="auto"/>
              <w:ind w:right="28"/>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3、投标人或产品制造商获得有效期内的绿色供应链评价认证证书且范围适用于：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塑料家具</w:t>
            </w:r>
            <w:r>
              <w:rPr>
                <w:rFonts w:hint="eastAsia" w:ascii="宋体" w:hAnsi="宋体" w:eastAsia="宋体" w:cs="宋体"/>
                <w:sz w:val="21"/>
                <w:szCs w:val="21"/>
                <w:lang w:eastAsia="zh-CN"/>
              </w:rPr>
              <w:t>”</w:t>
            </w:r>
            <w:r>
              <w:rPr>
                <w:rFonts w:hint="eastAsia" w:ascii="宋体" w:hAnsi="宋体" w:eastAsia="宋体" w:cs="宋体"/>
                <w:color w:val="000000" w:themeColor="text1"/>
                <w:kern w:val="0"/>
                <w:sz w:val="21"/>
                <w:szCs w:val="21"/>
                <w:lang w:val="en-US" w:eastAsia="zh-CN" w:bidi="ar-SA"/>
                <w14:textFill>
                  <w14:solidFill>
                    <w14:schemeClr w14:val="tx1"/>
                  </w14:solidFill>
                </w14:textFill>
              </w:rPr>
              <w:t>“结构性钢木制品”</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lang w:val="en-US" w:eastAsia="zh-CN" w:bidi="ar-SA"/>
                <w14:textFill>
                  <w14:solidFill>
                    <w14:schemeClr w14:val="tx1"/>
                  </w14:solidFill>
                </w14:textFill>
              </w:rPr>
              <w:t>“木制/质类家具”</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lang w:val="en-US" w:eastAsia="zh-CN" w:bidi="ar-SA"/>
                <w14:textFill>
                  <w14:solidFill>
                    <w14:schemeClr w14:val="tx1"/>
                  </w14:solidFill>
                </w14:textFill>
              </w:rPr>
              <w:t>“软体类家具”</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lang w:val="en-US" w:eastAsia="zh-CN" w:bidi="ar-SA"/>
                <w14:textFill>
                  <w14:solidFill>
                    <w14:schemeClr w14:val="tx1"/>
                  </w14:solidFill>
                </w14:textFill>
              </w:rPr>
              <w:t xml:space="preserve">“家具配装组件”的销售、技术支持、回访、安装、客户服务等内容，范围全满足的得3分，不满足的得1分。     </w:t>
            </w:r>
          </w:p>
          <w:p>
            <w:pPr>
              <w:pStyle w:val="4"/>
              <w:spacing w:before="115" w:line="360" w:lineRule="auto"/>
              <w:ind w:right="28"/>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4、投标人或产品制造商获得有效的有害物质限量产品认证证书且认证证书且范围适用于：木家具、</w:t>
            </w:r>
            <w:r>
              <w:rPr>
                <w:rFonts w:hint="eastAsia" w:ascii="宋体" w:hAnsi="宋体" w:eastAsia="宋体" w:cs="宋体"/>
                <w:sz w:val="21"/>
                <w:szCs w:val="21"/>
                <w:lang w:val="en-US" w:eastAsia="zh-CN"/>
              </w:rPr>
              <w:t>塑料家具、</w:t>
            </w:r>
            <w:r>
              <w:rPr>
                <w:rFonts w:hint="eastAsia" w:ascii="宋体" w:hAnsi="宋体" w:eastAsia="宋体" w:cs="宋体"/>
                <w:color w:val="000000" w:themeColor="text1"/>
                <w:kern w:val="0"/>
                <w:sz w:val="21"/>
                <w:szCs w:val="21"/>
                <w:lang w:val="en-US" w:eastAsia="zh-CN" w:bidi="ar-SA"/>
                <w14:textFill>
                  <w14:solidFill>
                    <w14:schemeClr w14:val="tx1"/>
                  </w14:solidFill>
                </w14:textFill>
              </w:rPr>
              <w:t>结构性木制品、软体家具，全部满足的得3分，提供但范围不满足的得1分。</w:t>
            </w:r>
          </w:p>
          <w:p>
            <w:pPr>
              <w:pStyle w:val="4"/>
              <w:spacing w:line="360" w:lineRule="auto"/>
              <w:jc w:val="both"/>
              <w:rPr>
                <w:rFonts w:hint="eastAsia" w:ascii="宋体" w:hAnsi="宋体" w:eastAsia="宋体" w:cs="宋体"/>
                <w:sz w:val="21"/>
                <w:szCs w:val="21"/>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注：投标文件中提供证书复印件并加盖公章，且在“全国</w:t>
            </w:r>
            <w:r>
              <w:rPr>
                <w:rFonts w:hint="eastAsia" w:ascii="宋体" w:hAnsi="宋体" w:eastAsia="宋体" w:cs="宋体"/>
                <w:color w:val="000000" w:themeColor="text1"/>
                <w:kern w:val="0"/>
                <w:sz w:val="21"/>
                <w:szCs w:val="21"/>
                <w:lang w:val="en-US" w:eastAsia="zh-CN" w:bidi="ar-SA"/>
                <w14:textFill>
                  <w14:solidFill>
                    <w14:schemeClr w14:val="tx1"/>
                  </w14:solidFill>
                </w14:textFill>
              </w:rPr>
              <w:t>认证认可信息公告服务平台</w:t>
            </w:r>
            <w:r>
              <w:rPr>
                <w:rFonts w:hint="eastAsia" w:ascii="宋体" w:hAnsi="宋体" w:eastAsia="宋体" w:cs="宋体"/>
                <w:color w:val="000000" w:themeColor="text1"/>
                <w:kern w:val="0"/>
                <w:sz w:val="21"/>
                <w:szCs w:val="21"/>
                <w:lang w:val="en-US" w:eastAsia="zh-CN" w:bidi="ar-SA"/>
                <w14:textFill>
                  <w14:solidFill>
                    <w14:schemeClr w14:val="tx1"/>
                  </w14:solidFill>
                </w14:textFill>
              </w:rPr>
              <w:t>、（http://cx.cnca.cn/CertECloud/index/index/page/）”网络查询截图。</w:t>
            </w:r>
          </w:p>
        </w:tc>
        <w:tc>
          <w:tcPr>
            <w:tcW w:w="90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r>
      <w:tr>
        <w:tblPrEx>
          <w:tblCellMar>
            <w:top w:w="0" w:type="dxa"/>
            <w:left w:w="108" w:type="dxa"/>
            <w:bottom w:w="0" w:type="dxa"/>
            <w:right w:w="108" w:type="dxa"/>
          </w:tblCellMar>
        </w:tblPrEx>
        <w:trPr>
          <w:trHeight w:val="1471" w:hRule="atLeast"/>
          <w:jc w:val="center"/>
        </w:trPr>
        <w:tc>
          <w:tcPr>
            <w:tcW w:w="118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414"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同类项目经验</w:t>
            </w:r>
          </w:p>
        </w:tc>
        <w:tc>
          <w:tcPr>
            <w:tcW w:w="5381"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1、根据供应商从2020年1月1日至今（以合同签订日期为准）有类似业绩，每提供1个项目得2分，最多得</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分。</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注：提供合同复印件。</w:t>
            </w:r>
          </w:p>
        </w:tc>
        <w:tc>
          <w:tcPr>
            <w:tcW w:w="904"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r>
      <w:tr>
        <w:tblPrEx>
          <w:tblCellMar>
            <w:top w:w="0" w:type="dxa"/>
            <w:left w:w="108" w:type="dxa"/>
            <w:bottom w:w="0" w:type="dxa"/>
            <w:right w:w="108" w:type="dxa"/>
          </w:tblCellMar>
        </w:tblPrEx>
        <w:trPr>
          <w:trHeight w:val="1587"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41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实施方案</w:t>
            </w:r>
          </w:p>
        </w:tc>
        <w:tc>
          <w:tcPr>
            <w:tcW w:w="5381"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根据比选人提供的实施方案进行综合评审，实施方案应包括①项目技术方案、②时间进度、③人员配置、④质量保障措施、⑤应急处理方案、⑥整体实施安排情况、⑦配送计划等，包含以上内容且完全满足项目实际实施情况需求，阐述清晰，逻辑合理，明确详细的得14分；每缺一项扣2分，每有一项内容不完善、存在缺陷或不满足项目实际实施情况需求的扣1分，扣完为止。</w:t>
            </w:r>
          </w:p>
        </w:tc>
        <w:tc>
          <w:tcPr>
            <w:tcW w:w="90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r>
      <w:tr>
        <w:tblPrEx>
          <w:tblCellMar>
            <w:top w:w="0" w:type="dxa"/>
            <w:left w:w="108" w:type="dxa"/>
            <w:bottom w:w="0" w:type="dxa"/>
            <w:right w:w="108" w:type="dxa"/>
          </w:tblCellMar>
        </w:tblPrEx>
        <w:trPr>
          <w:trHeight w:val="1140"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售后服务</w:t>
            </w:r>
          </w:p>
        </w:tc>
        <w:tc>
          <w:tcPr>
            <w:tcW w:w="5381" w:type="dxa"/>
            <w:tcBorders>
              <w:top w:val="single" w:color="auto" w:sz="4" w:space="0"/>
              <w:left w:val="single" w:color="auto" w:sz="4" w:space="0"/>
              <w:bottom w:val="single" w:color="auto" w:sz="4" w:space="0"/>
              <w:right w:val="single" w:color="auto" w:sz="4" w:space="0"/>
            </w:tcBorders>
            <w:vAlign w:val="center"/>
          </w:tcPr>
          <w:p>
            <w:pPr>
              <w:pStyle w:val="4"/>
              <w:spacing w:before="115" w:line="360" w:lineRule="auto"/>
              <w:ind w:right="2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1、根据投标人提供针对本项目的售后服务方案中（包含但不仅限于）：①售后服务人员安排； ②售后服务流程； ③应急预案；④有详尽的质量保障措施等进行评审；完整体现上述方案内容且适用于本项目工作的得4分；有一项未提供扣1分，每一项中每有一处不合理的扣0.5分，扣完为止。 注：不合理是指方案中不存在不适用项目实际情况，凭空捏造、套用其他无关内容、逻辑漏洞、科学原理错误、内容不完整、实用性差以及与本项目无关等情况。</w:t>
            </w:r>
          </w:p>
          <w:p>
            <w:pPr>
              <w:pStyle w:val="4"/>
              <w:spacing w:before="115" w:line="360" w:lineRule="auto"/>
              <w:ind w:right="2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或产品制造商具有有效期内的符合GB/T27922-2011及SB/T10962-2013标准的十星级或以上的售后服务完善程度认证证书且范围适用于：木制/质类家具、软体类家具、结构性钢木制品、家具配装组件的技术支持、定制、客户服务、售后维保培训等内容，范围全满足的得3分，提供但范围不满足的得1分。</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val="en-US" w:eastAsia="zh-CN"/>
              </w:rPr>
              <w:t>（投标文件中提供证书复印件及全国认证认可信息公共服务平台（http://cx.cnca.cn）的查询截图并加盖投标人公章方能有效）</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7</w:t>
            </w:r>
            <w:bookmarkStart w:id="0" w:name="_GoBack"/>
            <w:bookmarkEnd w:id="0"/>
          </w:p>
        </w:tc>
      </w:tr>
      <w:tr>
        <w:tblPrEx>
          <w:tblCellMar>
            <w:top w:w="0" w:type="dxa"/>
            <w:left w:w="108" w:type="dxa"/>
            <w:bottom w:w="0" w:type="dxa"/>
            <w:right w:w="108" w:type="dxa"/>
          </w:tblCellMar>
        </w:tblPrEx>
        <w:trPr>
          <w:trHeight w:val="2033"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414"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节能、环境标志产品</w:t>
            </w:r>
          </w:p>
        </w:tc>
        <w:tc>
          <w:tcPr>
            <w:tcW w:w="5381"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投标产品中属于政府采购优先采购范围的（强制采购的除外），每有一项为节能产品或者环境标志产品的得0.5分。本项最多得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分。</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注：提供国家确定的认证机构出具的、处于有效期之内的节能产品、环境标志产品认证证书复印件。</w:t>
            </w:r>
          </w:p>
        </w:tc>
        <w:tc>
          <w:tcPr>
            <w:tcW w:w="90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r>
      <w:tr>
        <w:tblPrEx>
          <w:tblCellMar>
            <w:top w:w="0" w:type="dxa"/>
            <w:left w:w="108" w:type="dxa"/>
            <w:bottom w:w="0" w:type="dxa"/>
            <w:right w:w="108" w:type="dxa"/>
          </w:tblCellMar>
        </w:tblPrEx>
        <w:trPr>
          <w:trHeight w:val="171"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41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保密承诺</w:t>
            </w:r>
          </w:p>
        </w:tc>
        <w:tc>
          <w:tcPr>
            <w:tcW w:w="5381" w:type="dxa"/>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有保密承诺书的得0.5分，视保密承诺书的严密性加0-0.5分；无保密承诺书的本“保密承诺”评分项目得0分。</w:t>
            </w:r>
          </w:p>
        </w:tc>
        <w:tc>
          <w:tcPr>
            <w:tcW w:w="90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MDg0ZTM2YmNkYjkxYzEyYTcyOThlY2M4NDM1MDQifQ=="/>
  </w:docVars>
  <w:rsids>
    <w:rsidRoot w:val="00000000"/>
    <w:rsid w:val="17DF7171"/>
    <w:rsid w:val="1B207004"/>
    <w:rsid w:val="610D70AA"/>
    <w:rsid w:val="6E080214"/>
    <w:rsid w:val="73C13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autoRedefine/>
    <w:semiHidden/>
    <w:uiPriority w:val="0"/>
  </w:style>
  <w:style w:type="table" w:default="1" w:styleId="2">
    <w:name w:val="Normal Table"/>
    <w:autoRedefine/>
    <w:semiHidden/>
    <w:uiPriority w:val="0"/>
    <w:tblPr>
      <w:tblCellMar>
        <w:top w:w="0" w:type="dxa"/>
        <w:left w:w="108" w:type="dxa"/>
        <w:bottom w:w="0" w:type="dxa"/>
        <w:right w:w="108" w:type="dxa"/>
      </w:tblCellMar>
    </w:tblPr>
  </w:style>
  <w:style w:type="paragraph" w:customStyle="1" w:styleId="4">
    <w:name w:val="Table Paragraph"/>
    <w:basedOn w:val="1"/>
    <w:autoRedefine/>
    <w:qFormat/>
    <w:uiPriority w:val="1"/>
    <w:rPr>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2024-02-23T06:21:00Z</dcterms:created>
  <dc:creator>Administrator</dc:creator>
  <cp:lastModifiedBy>茉莉</cp:lastModifiedBy>
  <dcterms:modified xsi:type="dcterms:W3CDTF">2024-02-26T00:40:21Z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102C601B9FFF4133A1CDA9966B22D50E_12</vt:lpwstr>
  </property>
</Properties>
</file>