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评分表</w:t>
      </w:r>
    </w:p>
    <w:tbl>
      <w:tblPr>
        <w:tblStyle w:val="5"/>
        <w:tblW w:w="8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5"/>
        <w:gridCol w:w="818"/>
        <w:gridCol w:w="489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评分因素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4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评分依据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价格</w:t>
            </w:r>
          </w:p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20分</w:t>
            </w:r>
          </w:p>
        </w:tc>
        <w:tc>
          <w:tcPr>
            <w:tcW w:w="4897" w:type="dxa"/>
            <w:noWrap w:val="0"/>
            <w:vAlign w:val="center"/>
          </w:tcPr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满足采购文件要求且最低的报价为基准价，其价格分为满分。其他采购人的报价得分=（评比基准价/采购报价）×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×1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报价得分保留小数点后</w:t>
            </w:r>
            <w:r>
              <w:rPr>
                <w:rFonts w:hint="eastAsia"/>
                <w:color w:val="000000"/>
                <w:sz w:val="24"/>
              </w:rPr>
              <w:t>2位。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服务响应</w:t>
            </w: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50分</w:t>
            </w:r>
          </w:p>
        </w:tc>
        <w:tc>
          <w:tcPr>
            <w:tcW w:w="489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供应商完全满足服务要求的得</w:t>
            </w:r>
            <w:r>
              <w:rPr>
                <w:color w:val="000000"/>
                <w:sz w:val="24"/>
              </w:rPr>
              <w:t>50分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有一项不满足的扣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sz w:val="24"/>
              </w:rPr>
              <w:t>分，本项扣完为止。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服务方案</w:t>
            </w:r>
            <w:r>
              <w:rPr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 xml:space="preserve">%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服务方案</w:t>
            </w:r>
            <w:r>
              <w:rPr>
                <w:color w:val="000000"/>
                <w:sz w:val="24"/>
              </w:rPr>
              <w:t>18分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897" w:type="dxa"/>
            <w:noWrap w:val="0"/>
            <w:vAlign w:val="center"/>
          </w:tcPr>
          <w:p>
            <w:pPr>
              <w:spacing w:line="360" w:lineRule="auto"/>
              <w:rPr>
                <w:rFonts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1、管理制度（</w:t>
            </w:r>
            <w:r>
              <w:rPr>
                <w:rFonts w:cs="宋体"/>
                <w:sz w:val="24"/>
                <w:lang w:bidi="ar"/>
              </w:rPr>
              <w:t>3</w:t>
            </w:r>
            <w:r>
              <w:rPr>
                <w:rFonts w:hint="eastAsia" w:cs="宋体"/>
                <w:sz w:val="24"/>
                <w:lang w:bidi="ar"/>
              </w:rPr>
              <w:t>分）</w:t>
            </w:r>
          </w:p>
          <w:p>
            <w:pPr>
              <w:spacing w:line="360" w:lineRule="auto"/>
              <w:rPr>
                <w:rFonts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供应商具有内部管理制度的得</w:t>
            </w:r>
            <w:r>
              <w:rPr>
                <w:rFonts w:cs="宋体"/>
                <w:sz w:val="24"/>
                <w:lang w:bidi="ar"/>
              </w:rPr>
              <w:t>3</w:t>
            </w:r>
            <w:r>
              <w:rPr>
                <w:rFonts w:hint="eastAsia" w:cs="宋体"/>
                <w:sz w:val="24"/>
                <w:lang w:bidi="ar"/>
              </w:rPr>
              <w:t>分，未提供不得分。</w:t>
            </w:r>
          </w:p>
          <w:p>
            <w:pPr>
              <w:spacing w:line="360" w:lineRule="auto"/>
              <w:rPr>
                <w:rFonts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2、作业方案（15分）</w:t>
            </w:r>
          </w:p>
          <w:p>
            <w:pPr>
              <w:spacing w:line="360" w:lineRule="auto"/>
              <w:rPr>
                <w:rFonts w:cs="宋体"/>
                <w:sz w:val="24"/>
                <w:lang w:bidi="ar"/>
              </w:rPr>
            </w:pPr>
            <w:r>
              <w:rPr>
                <w:rFonts w:hint="eastAsia" w:cs="宋体"/>
                <w:sz w:val="24"/>
                <w:lang w:bidi="ar"/>
              </w:rPr>
              <w:t>对供应商根据本项目编写的资产评估方案进行综合评审，优得13-15分，良好得10-12分，一般得7-9分，较差得4-6分，未提供方案的不得分。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履约能力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 xml:space="preserve">% 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89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/>
                <w:sz w:val="24"/>
              </w:rPr>
              <w:t>供应商自2020年1月</w:t>
            </w:r>
            <w:r>
              <w:rPr>
                <w:rFonts w:hint="eastAsia" w:hAnsi="宋体"/>
                <w:sz w:val="24"/>
              </w:rPr>
              <w:t>1日</w:t>
            </w:r>
            <w:r>
              <w:rPr>
                <w:rFonts w:hAnsi="宋体"/>
                <w:sz w:val="24"/>
              </w:rPr>
              <w:t>以来具有类似项目业绩的，每提供一个得</w:t>
            </w:r>
            <w:r>
              <w:rPr>
                <w:rFonts w:hint="eastAsia" w:hAnsi="宋体"/>
                <w:sz w:val="24"/>
              </w:rPr>
              <w:t>4</w:t>
            </w:r>
            <w:r>
              <w:rPr>
                <w:rFonts w:hAnsi="宋体"/>
                <w:sz w:val="24"/>
              </w:rPr>
              <w:t>分，最高得12分；（提供项目合同复印件盖供应商</w:t>
            </w:r>
            <w:r>
              <w:rPr>
                <w:rFonts w:hint="eastAsia" w:hAnsi="宋体"/>
                <w:sz w:val="24"/>
              </w:rPr>
              <w:t>公</w:t>
            </w:r>
            <w:r>
              <w:rPr>
                <w:rFonts w:hAnsi="宋体"/>
                <w:sz w:val="24"/>
              </w:rPr>
              <w:t>章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合同时间以签订时间或合同中载明的履约时间为准）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14340"/>
    <w:rsid w:val="01F14340"/>
    <w:rsid w:val="194225E6"/>
    <w:rsid w:val="3CDA5C02"/>
    <w:rsid w:val="3DBE09CE"/>
    <w:rsid w:val="48260589"/>
    <w:rsid w:val="4D8B17F1"/>
    <w:rsid w:val="6B3D7737"/>
    <w:rsid w:val="7F8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2024-03-04T01:46:00Z</dcterms:created>
  <dc:creator>Administrator</dc:creator>
  <cp:lastModifiedBy>Administrator</cp:lastModifiedBy>
  <dcterms:modified xsi:type="dcterms:W3CDTF">2024-03-05T00:06:37Z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