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外科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大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楼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及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内科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大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楼“多测合一”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测绘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项目综合评分表</w:t>
      </w:r>
    </w:p>
    <w:tbl>
      <w:tblPr>
        <w:tblStyle w:val="5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05"/>
        <w:gridCol w:w="847"/>
        <w:gridCol w:w="63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评分因素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及权重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分　值</w:t>
            </w:r>
          </w:p>
        </w:tc>
        <w:tc>
          <w:tcPr>
            <w:tcW w:w="6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报价1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1.报价得分=（评标基准价/供应商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报价）×1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%×100（评标基准价指满足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文件要求且价格最低的报价）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9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项目实施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技术方案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根据供应商提供的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技术方案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进行综合评分，内容包括但不限于：括①项目概况分析、②目标任务的理解、③技术路线与方法、④安全文明施工、⑤工作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进度安排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、⑥技术难题解决方法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完全包含上述内容不缺项，且能与“技术服务内容及要求”合理匹配的，得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分，每缺少一项目上述内容扣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分，每存在一处履约要求所示缺陷的扣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分，扣完为止。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9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安全保障措施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根供应商提供的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安全保障措施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进行综合评分，内容包括但不限于：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①安全保证体系、②安全保障措施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完全包含上述内容不缺项，且能与“技术服务内容及要求”合理匹配的，得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分，每缺少一项目上述内容扣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分，每存在一处履约要求所示缺陷的扣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分，扣完为止。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9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后续服务方案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根据供应商提供的后续服务方案进行综合评分，内容包括但不限于：（1）后续服务计划及响应时间；（2）后续服务机构及服务人员情况；（3）后续服务保障措施。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完全包含上述内容不缺项，且能与“技术服务内容及要求”合理匹配的，得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分，每缺少一项目上述内容扣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分，每存在一处履约要求所示缺陷的扣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分，扣完为止。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人员配置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1.拟派项目总负责人（1人）：具有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工程测量员职业资格的得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，同时，在测绘相关领域从业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8年以上的（以毕业证书为准）加2分，本项最高得5分。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2.其他专业人员：每有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名人员具有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工程测量员或测绘服务职业资格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 ，最高得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以上人员不重复计分，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项目负责人毕业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证书复印件及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所有人员相关证书复印件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并加盖供应商单位公章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且需公司提供负责人社保缴纳证明。未提供证书或社保证明不得分。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专业设备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6%</w:t>
            </w: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供应商拟投入的专业设备：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1.具有RTK设备1 台得 1 分，每增加一台得 1 分，本小项最多得 2 分； 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2.具有无人机1 台得 1 分，每增加一台得 1 分，且需提供无人机运营合格证，本小项最多得 2 分；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3.具有水准仪1 台得 1 分；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4.具有全站仪设备 1 台得 1 分。 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注：RTK设备、水准仪及全站仪设备提供有效的仪器检定证书复印件，无人机设备提供采购发票或租赁合同，以上资料加盖供应商公章。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类似项目业绩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年1月1日至今，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每提供一个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类似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业绩得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分，最多得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注：业绩提供合同复印件或中标（成交）通知书复印件，并加盖供应商公章。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158" w:line="312" w:lineRule="auto"/>
              <w:ind w:right="203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  <w:t>响应文件规范性4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  <w:t>%</w:t>
            </w:r>
          </w:p>
        </w:tc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  <w:t>4分</w:t>
            </w:r>
          </w:p>
        </w:tc>
        <w:tc>
          <w:tcPr>
            <w:tcW w:w="63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1"/>
              <w:ind w:left="108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  <w:t>响应文件制作规范，没有细微偏差情形的得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  <w:t>分；有一项</w:t>
            </w:r>
          </w:p>
          <w:p>
            <w:pPr>
              <w:pStyle w:val="7"/>
              <w:spacing w:before="156" w:line="240" w:lineRule="auto"/>
              <w:ind w:left="108"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  <w:t>细微偏差扣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  <w:t>分，直至该项分值扣完为止。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19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合计：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100分</w:t>
            </w:r>
          </w:p>
        </w:tc>
      </w:tr>
    </w:tbl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footerReference r:id="rId3" w:type="default"/>
      <w:pgSz w:w="11906" w:h="16838"/>
      <w:pgMar w:top="1123" w:right="782" w:bottom="1100" w:left="9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9822180</wp:posOffset>
              </wp:positionV>
              <wp:extent cx="272415" cy="2514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8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85pt;margin-top:773.4pt;height:19.8pt;width:21.45pt;mso-position-horizontal-relative:page;mso-position-vertical-relative:page;z-index:-251657216;mso-width-relative:page;mso-height-relative:page;" filled="f" stroked="f" coordsize="21600,21600" o:gfxdata="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i+cItoAAAANAQAADwAAAAAAAAABACAAAAAiAAAAZHJzL2Rvd25yZXYueG1sUEsB&#10;AhQAFAAAAAgAh07iQF7KLt6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8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M5N2Q1NjA2NWY3MGNiM2EyODJiY2YwZDg2ODUifQ=="/>
  </w:docVars>
  <w:rsids>
    <w:rsidRoot w:val="00000000"/>
    <w:rsid w:val="03F32DAF"/>
    <w:rsid w:val="05333DFC"/>
    <w:rsid w:val="09F10F3A"/>
    <w:rsid w:val="12BF1E52"/>
    <w:rsid w:val="145409D6"/>
    <w:rsid w:val="14B240D9"/>
    <w:rsid w:val="163156AC"/>
    <w:rsid w:val="16340A8A"/>
    <w:rsid w:val="16EF19C5"/>
    <w:rsid w:val="36CA66EA"/>
    <w:rsid w:val="378E6E5B"/>
    <w:rsid w:val="3AE536E8"/>
    <w:rsid w:val="3B2660EB"/>
    <w:rsid w:val="3C4433A8"/>
    <w:rsid w:val="3D161376"/>
    <w:rsid w:val="3DBB0149"/>
    <w:rsid w:val="3FC419CD"/>
    <w:rsid w:val="44AD7929"/>
    <w:rsid w:val="469365BC"/>
    <w:rsid w:val="4B8A2C5B"/>
    <w:rsid w:val="5261034A"/>
    <w:rsid w:val="539576AA"/>
    <w:rsid w:val="54622035"/>
    <w:rsid w:val="55066679"/>
    <w:rsid w:val="559644FD"/>
    <w:rsid w:val="572D655E"/>
    <w:rsid w:val="585B0C52"/>
    <w:rsid w:val="5ABC33FE"/>
    <w:rsid w:val="5AF34578"/>
    <w:rsid w:val="622A0E45"/>
    <w:rsid w:val="63D0463C"/>
    <w:rsid w:val="65AA1393"/>
    <w:rsid w:val="65BE5911"/>
    <w:rsid w:val="6A8A208C"/>
    <w:rsid w:val="6DB61B22"/>
    <w:rsid w:val="6F4B7C0F"/>
    <w:rsid w:val="72093AA4"/>
    <w:rsid w:val="7403558A"/>
    <w:rsid w:val="77E31606"/>
    <w:rsid w:val="799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ind w:left="553"/>
      <w:outlineLvl w:val="2"/>
    </w:pPr>
    <w:rPr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1092</Characters>
  <Lines>0</Lines>
  <Paragraphs>0</Paragraphs>
  <TotalTime>80</TotalTime>
  <ScaleCrop>false</ScaleCrop>
  <LinksUpToDate>false</LinksUpToDate>
  <CharactersWithSpaces>1118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2024-02-19T09:45:00Z</dcterms:created>
  <dc:creator>HP</dc:creator>
  <cp:lastModifiedBy>zengxue </cp:lastModifiedBy>
  <cp:lastPrinted>2024-05-09T07:19:00Z</cp:lastPrinted>
  <dcterms:modified xsi:type="dcterms:W3CDTF">2024-05-09T07:36:09Z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97685EF748924E9690EDA5B0ADC2868C_13</vt:lpwstr>
  </property>
</Properties>
</file>