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50" w:beforeAutospacing="0" w:after="50" w:afterAutospacing="0" w:line="600" w:lineRule="exact"/>
        <w:ind w:left="0" w:right="0" w:firstLine="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大邑县人民医院分诊叫号系统及其配套硬件维保服务采购项目比选文件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 w:beforeAutospacing="0" w:after="50" w:afterAutospacing="0" w:line="600" w:lineRule="exact"/>
        <w:ind w:left="0" w:right="0" w:firstLine="431"/>
        <w:textAlignment w:val="auto"/>
        <w:rPr>
          <w:rFonts w:hint="eastAsia" w:ascii="仿宋" w:hAnsi="仿宋" w:eastAsia="仿宋" w:cs="仿宋"/>
          <w:b/>
          <w:bCs/>
          <w:sz w:val="28"/>
          <w:szCs w:val="28"/>
        </w:rPr>
      </w:pPr>
      <w:r>
        <w:rPr>
          <w:rFonts w:hint="eastAsia" w:ascii="仿宋" w:hAnsi="仿宋" w:eastAsia="仿宋" w:cs="仿宋"/>
          <w:kern w:val="2"/>
          <w:sz w:val="28"/>
          <w:szCs w:val="28"/>
          <w:lang w:val="en-US" w:eastAsia="zh-CN" w:bidi="ar-SA"/>
        </w:rPr>
        <w:t>为保障医院工作顺利开展，我院拟对分诊叫号系统及其配套硬件维保服务开展采购工作，现进行挂网公告，欢迎符合条件的供应商积极报名，报名结束后将直接组织本次投标供应商进行比选洽谈。</w:t>
      </w:r>
    </w:p>
    <w:p>
      <w:pPr>
        <w:pStyle w:val="3"/>
        <w:pageBreakBefore w:val="0"/>
        <w:numPr>
          <w:ilvl w:val="0"/>
          <w:numId w:val="1"/>
        </w:numPr>
        <w:kinsoku/>
        <w:wordWrap/>
        <w:overflowPunct/>
        <w:topLinePunct w:val="0"/>
        <w:autoSpaceDE/>
        <w:autoSpaceDN/>
        <w:bidi w:val="0"/>
        <w:spacing w:line="600" w:lineRule="exact"/>
        <w:textAlignment w:val="auto"/>
        <w:rPr>
          <w:rFonts w:hint="eastAsia" w:ascii="仿宋" w:hAnsi="仿宋" w:eastAsia="仿宋" w:cs="仿宋"/>
          <w:sz w:val="28"/>
          <w:szCs w:val="28"/>
        </w:rPr>
      </w:pPr>
      <w:r>
        <w:rPr>
          <w:rFonts w:hint="eastAsia" w:ascii="仿宋" w:hAnsi="仿宋" w:eastAsia="仿宋" w:cs="仿宋"/>
          <w:b/>
          <w:bCs/>
          <w:sz w:val="28"/>
          <w:szCs w:val="28"/>
        </w:rPr>
        <w:t>项目</w:t>
      </w:r>
      <w:r>
        <w:rPr>
          <w:rFonts w:hint="eastAsia" w:ascii="仿宋" w:hAnsi="仿宋" w:eastAsia="仿宋" w:cs="仿宋"/>
          <w:b/>
          <w:bCs/>
          <w:sz w:val="28"/>
          <w:szCs w:val="28"/>
          <w:lang w:val="en-US" w:eastAsia="zh-CN"/>
        </w:rPr>
        <w:t>名称：分诊叫号系统及其配套硬件</w:t>
      </w:r>
      <w:r>
        <w:rPr>
          <w:rFonts w:hint="eastAsia" w:ascii="仿宋" w:hAnsi="仿宋" w:eastAsia="仿宋" w:cs="仿宋"/>
          <w:sz w:val="28"/>
          <w:szCs w:val="28"/>
          <w:lang w:val="en-US" w:eastAsia="zh-CN"/>
        </w:rPr>
        <w:t>维保</w:t>
      </w:r>
      <w:r>
        <w:rPr>
          <w:rFonts w:hint="eastAsia" w:ascii="仿宋" w:hAnsi="仿宋" w:eastAsia="仿宋" w:cs="仿宋"/>
          <w:sz w:val="28"/>
          <w:szCs w:val="28"/>
        </w:rPr>
        <w:t>服务</w:t>
      </w:r>
      <w:r>
        <w:rPr>
          <w:rFonts w:hint="eastAsia" w:ascii="仿宋" w:hAnsi="仿宋" w:eastAsia="仿宋" w:cs="仿宋"/>
          <w:sz w:val="28"/>
          <w:szCs w:val="28"/>
          <w:lang w:eastAsia="zh-CN"/>
        </w:rPr>
        <w:t>采购项目</w:t>
      </w:r>
      <w:r>
        <w:rPr>
          <w:rFonts w:hint="eastAsia" w:ascii="仿宋" w:hAnsi="仿宋" w:eastAsia="仿宋" w:cs="仿宋"/>
          <w:sz w:val="28"/>
          <w:szCs w:val="28"/>
        </w:rPr>
        <w:t>。</w:t>
      </w:r>
    </w:p>
    <w:p>
      <w:pPr>
        <w:pStyle w:val="3"/>
        <w:pageBreakBefore w:val="0"/>
        <w:numPr>
          <w:ilvl w:val="0"/>
          <w:numId w:val="0"/>
        </w:numPr>
        <w:kinsoku/>
        <w:wordWrap/>
        <w:overflowPunct/>
        <w:topLinePunct w:val="0"/>
        <w:autoSpaceDE/>
        <w:autoSpaceDN/>
        <w:bidi w:val="0"/>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b/>
          <w:bCs/>
          <w:kern w:val="2"/>
          <w:sz w:val="28"/>
          <w:szCs w:val="28"/>
          <w:lang w:val="en-US" w:eastAsia="zh-CN" w:bidi="ar-SA"/>
        </w:rPr>
        <w:t>二、预算金额：人民币17400元/年。</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三、比选申请人参加本次比选活动，应当具备下列条件：</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1、具有独立承担民事责任的能力；</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2、具有良好的商业信誉和健全的财务会计制度；</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3、具有履行合同所必需的设备和专业技术能力；</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4、具有依法缴纳税收和社会保障资金的良好记录；</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5、参加本次比选活动前三年内，在经营活动中没有重大违法记录；未处于财产被接管、冻结、破产状态，未处于有关行政处罚期间，未处于投标禁入期内。</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6、法律、行政法规规定的其他条件：</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6.1单位负责人为同一人或者存在直接控股、管理关系的不同比选申请人，不得参加同一合同项下的比选活动。</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6.2供应商单位及其法定代表人、主要负责人不得具有行贿犯罪记录。</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6.3拒绝列入失信被执行人、重大税收违法案件当事人名单、政府采购严重违法失信行为记录名单的比选申请人参加本次比选活动；</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7、本项目不接受联合体参加比选。</w:t>
      </w:r>
    </w:p>
    <w:p>
      <w:pPr>
        <w:pStyle w:val="3"/>
        <w:pageBreakBefore w:val="0"/>
        <w:kinsoku/>
        <w:wordWrap/>
        <w:overflowPunct/>
        <w:topLinePunct w:val="0"/>
        <w:autoSpaceDE/>
        <w:autoSpaceDN/>
        <w:bidi w:val="0"/>
        <w:spacing w:line="6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、商务要求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outlineLvl w:val="1"/>
        <w:rPr>
          <w:rFonts w:hint="eastAsia" w:ascii="仿宋" w:hAnsi="仿宋" w:eastAsia="仿宋" w:cs="仿宋"/>
          <w:b/>
          <w:bCs/>
          <w:color w:val="auto"/>
          <w:sz w:val="28"/>
          <w:szCs w:val="28"/>
          <w:highlight w:val="none"/>
          <w:lang w:val="en-US" w:eastAsia="zh-CN"/>
        </w:rPr>
      </w:pPr>
      <w:r>
        <w:rPr>
          <w:rFonts w:hint="eastAsia" w:ascii="仿宋" w:hAnsi="仿宋" w:eastAsia="仿宋" w:cs="仿宋"/>
          <w:b/>
          <w:bCs/>
          <w:sz w:val="28"/>
          <w:szCs w:val="28"/>
          <w:highlight w:val="none"/>
          <w:lang w:val="en-US" w:eastAsia="zh-CN"/>
        </w:rPr>
        <w:t>（一）履约期限：</w:t>
      </w:r>
      <w:r>
        <w:rPr>
          <w:rFonts w:hint="eastAsia" w:ascii="仿宋" w:hAnsi="仿宋" w:eastAsia="仿宋" w:cs="仿宋"/>
          <w:b/>
          <w:bCs/>
          <w:color w:val="auto"/>
          <w:sz w:val="28"/>
          <w:szCs w:val="28"/>
          <w:highlight w:val="none"/>
          <w:lang w:val="en-US" w:eastAsia="zh-CN"/>
        </w:rPr>
        <w:t>自合同签订之日起1年。</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2"/>
        <w:rPr>
          <w:rFonts w:hint="eastAsia" w:ascii="仿宋" w:hAnsi="仿宋" w:eastAsia="仿宋" w:cs="仿宋"/>
          <w:sz w:val="28"/>
          <w:szCs w:val="28"/>
          <w:lang w:eastAsia="zh-CN"/>
        </w:rPr>
      </w:pPr>
      <w:r>
        <w:rPr>
          <w:rFonts w:hint="eastAsia" w:ascii="仿宋" w:hAnsi="仿宋" w:eastAsia="仿宋" w:cs="仿宋"/>
          <w:b/>
          <w:bCs/>
          <w:sz w:val="28"/>
          <w:szCs w:val="28"/>
          <w:highlight w:val="none"/>
          <w:lang w:val="en-US" w:eastAsia="zh-CN"/>
        </w:rPr>
        <w:t>（二）服务地点：</w:t>
      </w:r>
      <w:r>
        <w:rPr>
          <w:rFonts w:hint="eastAsia" w:ascii="仿宋" w:hAnsi="仿宋" w:eastAsia="仿宋" w:cs="仿宋"/>
          <w:b/>
          <w:bCs/>
          <w:color w:val="auto"/>
          <w:sz w:val="28"/>
          <w:szCs w:val="28"/>
          <w:highlight w:val="none"/>
          <w:lang w:val="en-US" w:eastAsia="zh-CN"/>
        </w:rPr>
        <w:t>大邑县人民医院指定地点。</w:t>
      </w:r>
    </w:p>
    <w:p>
      <w:pPr>
        <w:pStyle w:val="2"/>
        <w:pageBreakBefore w:val="0"/>
        <w:numPr>
          <w:ilvl w:val="0"/>
          <w:numId w:val="2"/>
        </w:numPr>
        <w:kinsoku/>
        <w:wordWrap/>
        <w:overflowPunct/>
        <w:topLinePunct w:val="0"/>
        <w:autoSpaceDE/>
        <w:autoSpaceDN/>
        <w:bidi w:val="0"/>
        <w:spacing w:line="6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项目服务内容</w:t>
      </w:r>
    </w:p>
    <w:p>
      <w:pPr>
        <w:pStyle w:val="8"/>
        <w:pageBreakBefore w:val="0"/>
        <w:numPr>
          <w:ilvl w:val="0"/>
          <w:numId w:val="3"/>
        </w:numPr>
        <w:kinsoku/>
        <w:wordWrap/>
        <w:overflowPunct/>
        <w:topLinePunct w:val="0"/>
        <w:autoSpaceDE/>
        <w:autoSpaceDN/>
        <w:bidi w:val="0"/>
        <w:spacing w:line="600" w:lineRule="exact"/>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0"/>
          <w:sz w:val="28"/>
          <w:szCs w:val="28"/>
        </w:rPr>
        <w:t>★</w:t>
      </w:r>
      <w:r>
        <w:rPr>
          <w:rFonts w:hint="eastAsia" w:ascii="仿宋" w:hAnsi="仿宋" w:eastAsia="仿宋" w:cs="仿宋"/>
          <w:b/>
          <w:bCs/>
          <w:sz w:val="28"/>
          <w:szCs w:val="28"/>
          <w:lang w:val="en-US" w:eastAsia="zh-CN"/>
        </w:rPr>
        <w:t>服务内容及要求：</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564"/>
        <w:gridCol w:w="4005"/>
        <w:gridCol w:w="86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2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产品名称</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型号</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详细参数</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数量</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网络液晶电视一体机</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LELD-B22-L</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CPU：4核A53，主频≥ 1.5GHz</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内存：1GB DDR</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存储：8GB eMMC</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操作系统：Android6.0</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屏幕尺寸：22寸</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显示分辨率：1920*1080</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显示比例：16:9</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显示对比度：4000:1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显示响应时间：6ms</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网络接口：RJ45*1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扬声器：2*5W/ 8Ω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扫描功能：支持识别电子和纸质的二维码、一维码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设备外观：立体式数字发光门灯与诊室屏外观一体化</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设备工作电压：220V</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60</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智能液晶电视服务终端</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LELD-B22-ZZP</w:t>
            </w:r>
          </w:p>
        </w:tc>
        <w:tc>
          <w:tcPr>
            <w:tcW w:w="4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CPU：四核，主频≥1.8GHz</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操作系统：Android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内存：≥2G</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存储：≥8G eMMC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显示屏尺寸：22寸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分辨率：1920*1080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触摸方式：触摸点数 标配10点触摸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扫描模块：可识别各种静止/运动的一维条码和二维条码；可有效识别所有常用一维和二维码；支持感应触发、数据触发和光电触发三种触发功能；支持运动识读，扫描灵敏；支持 二维码自感应读取；</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智能液晶电视终端</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LELD-A22LELD-C</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CPU：4核A53，主频≥ 1.5GHz</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内存：1GB DDR</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存储：8GB eMMC</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操作系统：Android6.0</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屏幕尺寸：22寸</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显示分辨率：1920*1080</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显示比例：16:9</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显示对比度：4000:1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显示响应时间：6ms</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网络接口：RJ45*1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扬声器：2*5W/ 8Ω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扫描功能：支持识别电子和纸质的二维码、一维码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设备外观：立体式数字发光门灯与诊室屏外观一体化</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智能排队叫号系统</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V2.0.4</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1、智能排队系统；2、智能排队系统客户端叫号软件；3、智能排队系统客户端显示软件；4、数据同步服务软件</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套</w:t>
            </w:r>
          </w:p>
        </w:tc>
      </w:tr>
    </w:tbl>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0" w:right="0" w:rightChars="0"/>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highlight w:val="none"/>
          <w:lang w:val="en-US" w:eastAsia="zh-CN" w:bidi="ar-SA"/>
        </w:rPr>
        <w:t xml:space="preserve">（二）相关技术要求： </w:t>
      </w:r>
      <w:r>
        <w:rPr>
          <w:rFonts w:hint="eastAsia" w:ascii="仿宋" w:hAnsi="仿宋" w:eastAsia="仿宋" w:cs="仿宋"/>
          <w:kern w:val="2"/>
          <w:sz w:val="28"/>
          <w:szCs w:val="28"/>
          <w:lang w:val="en-US" w:eastAsia="zh-CN" w:bidi="ar-SA"/>
        </w:rPr>
        <w:t xml:space="preserve">    </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1、一小时快速响应，进行电话技术指导；若问题未解决，则12小时内指派工程师到达维修现场。     </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2、定期维护保养服务（含设备安全检查）≥4次／年。     </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3、维护保养服务过程中所涉及的人工费、交通差旅费由中标人承担。     </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4、所维保分诊叫号系统配套硬件低于300元的配件由中标人负责免费更换。     </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5、所维保的分诊叫号配套硬件开一年内停机天数＜15天/台，若停机天数每超过一天，则每天赔付违约金200元。</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6、中标人服务期内负责免费为医院提供软件定制修改及软件升级服务，保持在现有软件平台下修改及升级，服务期内需满足医院使用科室提出的所有需求更改。  </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7、中标人服务期内应免费为医院分诊叫号系统提供设备信息维护、终端内容维护、设备控制信息维护、数据备份等。</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8、若医院在服务期内更换HIS系统或HIS系统升级，中标人免费提供分诊叫号系统接口对接服务，保证分诊叫号系统顺利运行。</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9、服务器维护，包含服务器数据备份、更新、数据迁移等。</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10、培训服务，服务期内免费对医院不低于2次的技术培训，熟练掌握软件的管理、维护、数据配置、简单故障处理等。</w:t>
      </w:r>
    </w:p>
    <w:p>
      <w:pPr>
        <w:spacing w:line="360" w:lineRule="auto"/>
        <w:ind w:firstLine="42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w:t>
      </w:r>
      <w:r>
        <w:rPr>
          <w:rFonts w:hint="eastAsia" w:ascii="仿宋" w:hAnsi="仿宋" w:eastAsia="仿宋" w:cs="仿宋"/>
          <w:b/>
          <w:bCs/>
          <w:kern w:val="0"/>
          <w:sz w:val="28"/>
          <w:szCs w:val="28"/>
        </w:rPr>
        <w:t>★</w:t>
      </w:r>
      <w:r>
        <w:rPr>
          <w:rFonts w:hint="eastAsia" w:ascii="仿宋" w:hAnsi="仿宋" w:eastAsia="仿宋" w:cs="仿宋"/>
          <w:b/>
          <w:bCs/>
          <w:kern w:val="2"/>
          <w:sz w:val="28"/>
          <w:szCs w:val="28"/>
          <w:lang w:val="en-US" w:eastAsia="zh-CN" w:bidi="ar-SA"/>
        </w:rPr>
        <w:t>售后巡检</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硬件检修：</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1、屏幕显示是否正常工作</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2、硬件是否有松动</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3、线材有无外露</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4、硬件灰尘处理</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软件检修：</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1、服务器软件系统备份以及定制软件的备份</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2、及时的故障排查以及申报处理</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3、检查服务器运行状态是否正常</w:t>
      </w:r>
    </w:p>
    <w:p>
      <w:pPr>
        <w:pStyle w:val="2"/>
        <w:pageBreakBefore w:val="0"/>
        <w:kinsoku/>
        <w:wordWrap/>
        <w:overflowPunct/>
        <w:topLinePunct w:val="0"/>
        <w:autoSpaceDE/>
        <w:autoSpaceDN/>
        <w:bidi w:val="0"/>
        <w:spacing w:line="6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4、处理屏幕显示是否存在不合理或不完善情况</w:t>
      </w:r>
    </w:p>
    <w:p>
      <w:pPr>
        <w:pageBreakBefore w:val="0"/>
        <w:kinsoku/>
        <w:wordWrap/>
        <w:overflowPunct/>
        <w:topLinePunct w:val="0"/>
        <w:autoSpaceDE/>
        <w:autoSpaceDN/>
        <w:bidi w:val="0"/>
        <w:spacing w:line="600" w:lineRule="exact"/>
        <w:textAlignment w:val="auto"/>
        <w:rPr>
          <w:rFonts w:hint="eastAsia"/>
        </w:rPr>
      </w:pPr>
      <w:r>
        <w:rPr>
          <w:rFonts w:hint="eastAsia" w:ascii="仿宋" w:hAnsi="仿宋" w:eastAsia="仿宋" w:cs="仿宋"/>
          <w:b/>
          <w:bCs/>
          <w:kern w:val="0"/>
          <w:sz w:val="28"/>
          <w:szCs w:val="28"/>
          <w:lang w:val="en-US" w:eastAsia="zh-CN"/>
        </w:rPr>
        <w:t>注：</w:t>
      </w:r>
      <w:r>
        <w:rPr>
          <w:rFonts w:hint="eastAsia" w:ascii="仿宋" w:hAnsi="仿宋" w:eastAsia="仿宋" w:cs="仿宋"/>
          <w:b/>
          <w:bCs/>
          <w:kern w:val="0"/>
          <w:sz w:val="28"/>
          <w:szCs w:val="28"/>
        </w:rPr>
        <w:t>采购需求中标注“★”号的条款为本次采购项目的实质性要求，供应商应全部满足。</w:t>
      </w:r>
    </w:p>
    <w:p>
      <w:pPr>
        <w:pageBreakBefore w:val="0"/>
        <w:numPr>
          <w:ilvl w:val="0"/>
          <w:numId w:val="2"/>
        </w:numPr>
        <w:kinsoku/>
        <w:wordWrap/>
        <w:overflowPunct/>
        <w:topLinePunct w:val="0"/>
        <w:autoSpaceDE/>
        <w:autoSpaceDN/>
        <w:bidi w:val="0"/>
        <w:spacing w:line="600" w:lineRule="exact"/>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评分标准</w:t>
      </w:r>
    </w:p>
    <w:p>
      <w:pPr>
        <w:pStyle w:val="2"/>
        <w:pageBreakBefore w:val="0"/>
        <w:kinsoku/>
        <w:wordWrap/>
        <w:overflowPunct/>
        <w:topLinePunct w:val="0"/>
        <w:autoSpaceDE/>
        <w:autoSpaceDN/>
        <w:bidi w:val="0"/>
        <w:spacing w:line="6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综合评分明细表</w:t>
      </w:r>
    </w:p>
    <w:tbl>
      <w:tblPr>
        <w:tblStyle w:val="9"/>
        <w:tblW w:w="8691" w:type="dxa"/>
        <w:jc w:val="center"/>
        <w:tblInd w:w="0" w:type="dxa"/>
        <w:tblLayout w:type="fixed"/>
        <w:tblCellMar>
          <w:top w:w="0" w:type="dxa"/>
          <w:left w:w="108" w:type="dxa"/>
          <w:bottom w:w="0" w:type="dxa"/>
          <w:right w:w="108" w:type="dxa"/>
        </w:tblCellMar>
      </w:tblPr>
      <w:tblGrid>
        <w:gridCol w:w="453"/>
        <w:gridCol w:w="1055"/>
        <w:gridCol w:w="815"/>
        <w:gridCol w:w="4659"/>
        <w:gridCol w:w="1709"/>
      </w:tblGrid>
      <w:tr>
        <w:tblPrEx>
          <w:tblLayout w:type="fixed"/>
          <w:tblCellMar>
            <w:top w:w="0" w:type="dxa"/>
            <w:left w:w="108" w:type="dxa"/>
            <w:bottom w:w="0" w:type="dxa"/>
            <w:right w:w="108" w:type="dxa"/>
          </w:tblCellMar>
        </w:tblPrEx>
        <w:trPr>
          <w:trHeight w:val="20" w:hRule="atLeast"/>
          <w:jc w:val="center"/>
        </w:trPr>
        <w:tc>
          <w:tcPr>
            <w:tcW w:w="45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05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kern w:val="0"/>
                <w:sz w:val="21"/>
                <w:szCs w:val="21"/>
              </w:rPr>
            </w:pPr>
            <w:r>
              <w:rPr>
                <w:rFonts w:hint="eastAsia" w:ascii="宋体" w:hAnsi="宋体" w:eastAsia="宋体" w:cs="宋体"/>
                <w:kern w:val="0"/>
                <w:sz w:val="21"/>
                <w:szCs w:val="21"/>
              </w:rPr>
              <w:t>评分因素及权重</w:t>
            </w:r>
          </w:p>
        </w:tc>
        <w:tc>
          <w:tcPr>
            <w:tcW w:w="81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kern w:val="0"/>
                <w:sz w:val="21"/>
                <w:szCs w:val="21"/>
              </w:rPr>
            </w:pPr>
            <w:r>
              <w:rPr>
                <w:rFonts w:hint="eastAsia" w:ascii="宋体" w:hAnsi="宋体" w:eastAsia="宋体" w:cs="宋体"/>
                <w:kern w:val="0"/>
                <w:sz w:val="21"/>
                <w:szCs w:val="21"/>
              </w:rPr>
              <w:t>分值</w:t>
            </w:r>
          </w:p>
        </w:tc>
        <w:tc>
          <w:tcPr>
            <w:tcW w:w="4659"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评分标准</w:t>
            </w:r>
          </w:p>
        </w:tc>
        <w:tc>
          <w:tcPr>
            <w:tcW w:w="1709"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kern w:val="0"/>
                <w:sz w:val="21"/>
                <w:szCs w:val="21"/>
              </w:rPr>
            </w:pPr>
            <w:r>
              <w:rPr>
                <w:rFonts w:hint="eastAsia" w:ascii="宋体" w:hAnsi="宋体" w:eastAsia="宋体" w:cs="宋体"/>
                <w:kern w:val="0"/>
                <w:sz w:val="21"/>
                <w:szCs w:val="21"/>
              </w:rPr>
              <w:t>备注</w:t>
            </w:r>
          </w:p>
        </w:tc>
      </w:tr>
      <w:tr>
        <w:tblPrEx>
          <w:tblLayout w:type="fixed"/>
          <w:tblCellMar>
            <w:top w:w="0" w:type="dxa"/>
            <w:left w:w="108" w:type="dxa"/>
            <w:bottom w:w="0" w:type="dxa"/>
            <w:right w:w="108" w:type="dxa"/>
          </w:tblCellMar>
        </w:tblPrEx>
        <w:trPr>
          <w:trHeight w:val="20" w:hRule="atLeast"/>
          <w:jc w:val="center"/>
        </w:trPr>
        <w:tc>
          <w:tcPr>
            <w:tcW w:w="453"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05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kern w:val="0"/>
                <w:sz w:val="21"/>
                <w:szCs w:val="21"/>
              </w:rPr>
            </w:pPr>
            <w:r>
              <w:rPr>
                <w:rFonts w:hint="eastAsia" w:ascii="宋体" w:hAnsi="宋体" w:eastAsia="宋体" w:cs="宋体"/>
                <w:kern w:val="0"/>
                <w:sz w:val="21"/>
                <w:szCs w:val="21"/>
              </w:rPr>
              <w:t>报价（</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w:t>
            </w:r>
          </w:p>
        </w:tc>
        <w:tc>
          <w:tcPr>
            <w:tcW w:w="8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 分</w:t>
            </w:r>
          </w:p>
        </w:tc>
        <w:tc>
          <w:tcPr>
            <w:tcW w:w="465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kern w:val="0"/>
                <w:sz w:val="21"/>
                <w:szCs w:val="21"/>
              </w:rPr>
            </w:pPr>
            <w:r>
              <w:rPr>
                <w:rFonts w:hint="eastAsia" w:ascii="宋体" w:hAnsi="宋体" w:eastAsia="宋体" w:cs="宋体"/>
                <w:kern w:val="0"/>
                <w:sz w:val="21"/>
                <w:szCs w:val="21"/>
              </w:rPr>
              <w:t>满足招标文件要求且投标价格最低的评标价为评标基准价，其价格分为满分。其他投标人的价格分统一按照下列公式计算：投标报价得分=(评标基准价／投标报价)×权重（30%）×100</w:t>
            </w:r>
          </w:p>
        </w:tc>
        <w:tc>
          <w:tcPr>
            <w:tcW w:w="170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20" w:hRule="atLeast"/>
          <w:jc w:val="center"/>
        </w:trPr>
        <w:tc>
          <w:tcPr>
            <w:tcW w:w="45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10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技术指标和功能要求（</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0%）</w:t>
            </w:r>
          </w:p>
        </w:tc>
        <w:tc>
          <w:tcPr>
            <w:tcW w:w="81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20分</w:t>
            </w:r>
          </w:p>
        </w:tc>
        <w:tc>
          <w:tcPr>
            <w:tcW w:w="465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kern w:val="0"/>
                <w:sz w:val="21"/>
                <w:szCs w:val="21"/>
                <w:lang w:eastAsia="zh-CN"/>
              </w:rPr>
            </w:pPr>
            <w:r>
              <w:rPr>
                <w:rFonts w:hint="eastAsia" w:ascii="宋体" w:hAnsi="宋体" w:eastAsia="宋体" w:cs="宋体"/>
                <w:kern w:val="2"/>
                <w:sz w:val="21"/>
                <w:szCs w:val="21"/>
                <w:lang w:val="en-US" w:eastAsia="zh-CN" w:bidi="ar-SA"/>
              </w:rPr>
              <w:t>技术指标和配置完全符合招标文件要求没有负偏离得20分；与招标文件要求有非实质性负偏离的，一项扣2分，扣完为止。</w:t>
            </w:r>
          </w:p>
        </w:tc>
        <w:tc>
          <w:tcPr>
            <w:tcW w:w="170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20" w:hRule="atLeast"/>
          <w:jc w:val="center"/>
        </w:trPr>
        <w:tc>
          <w:tcPr>
            <w:tcW w:w="45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0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维保服务方案</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w:t>
            </w:r>
          </w:p>
        </w:tc>
        <w:tc>
          <w:tcPr>
            <w:tcW w:w="81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30分</w:t>
            </w:r>
          </w:p>
        </w:tc>
        <w:tc>
          <w:tcPr>
            <w:tcW w:w="465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eastAsia="zh-CN"/>
              </w:rPr>
              <w:t>投标人应针对招标文件中的服务标准与服务要求提供维保服务方案，维保服务方案应包含但不限于：</w:t>
            </w:r>
            <w:r>
              <w:rPr>
                <w:rFonts w:hint="eastAsia" w:ascii="宋体" w:hAnsi="宋体" w:eastAsia="宋体" w:cs="宋体"/>
                <w:kern w:val="0"/>
                <w:sz w:val="21"/>
                <w:szCs w:val="21"/>
                <w:lang w:val="en-US" w:eastAsia="zh-CN"/>
              </w:rPr>
              <w:t>1、维保响应方案；2、使用培训方案；3、维保服务措施；4、维保人员安排。维保服务方案内容完整且符合需求的得30分，每提供一项得7.5分，每有一处内容存在瑕疵扣2.5分，每一项最多扣7.5分。扣完为止。 （注：根</w:t>
            </w:r>
            <w:r>
              <w:rPr>
                <w:rFonts w:hint="eastAsia" w:ascii="宋体" w:hAnsi="宋体" w:eastAsia="宋体" w:cs="宋体"/>
                <w:kern w:val="0"/>
                <w:sz w:val="21"/>
                <w:szCs w:val="21"/>
                <w:lang w:eastAsia="zh-CN"/>
              </w:rPr>
              <w:t>据投标文件进行评审。说明：瑕疵是指方案中存在①内容有明显错误，前后内容无法连贯或互相矛盾②非专门针对本项目编制、内容脱离了实际情况不具备实施的可能性③简单套用其他项目方案④引用科学原理错误⑤内容不符合相关规范要求⑥存在与本项目无关的内容⑦内容简略或简单复制本项目采购需求等。）</w:t>
            </w:r>
          </w:p>
        </w:tc>
        <w:tc>
          <w:tcPr>
            <w:tcW w:w="170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20" w:hRule="atLeast"/>
          <w:jc w:val="center"/>
        </w:trPr>
        <w:tc>
          <w:tcPr>
            <w:tcW w:w="45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10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业绩</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0%）</w:t>
            </w:r>
          </w:p>
        </w:tc>
        <w:tc>
          <w:tcPr>
            <w:tcW w:w="81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10分</w:t>
            </w:r>
          </w:p>
        </w:tc>
        <w:tc>
          <w:tcPr>
            <w:tcW w:w="465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投标人自201</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年1月1日</w:t>
            </w:r>
            <w:r>
              <w:t>以来每具</w:t>
            </w:r>
            <w:r>
              <w:rPr>
                <w:rFonts w:hint="eastAsia" w:ascii="宋体" w:hAnsi="宋体" w:eastAsia="宋体" w:cs="宋体"/>
                <w:kern w:val="0"/>
                <w:sz w:val="21"/>
                <w:szCs w:val="21"/>
              </w:rPr>
              <w:t>类似项目业绩得</w:t>
            </w:r>
            <w:r>
              <w:rPr>
                <w:rFonts w:hint="eastAsia" w:ascii="宋体" w:hAnsi="宋体" w:cs="宋体"/>
                <w:kern w:val="0"/>
                <w:sz w:val="21"/>
                <w:szCs w:val="21"/>
                <w:lang w:val="en-US" w:eastAsia="zh-CN"/>
              </w:rPr>
              <w:t>2</w:t>
            </w:r>
            <w:r>
              <w:rPr>
                <w:rFonts w:hint="eastAsia" w:ascii="宋体" w:hAnsi="宋体" w:eastAsia="宋体" w:cs="宋体"/>
                <w:kern w:val="0"/>
                <w:sz w:val="21"/>
                <w:szCs w:val="21"/>
              </w:rPr>
              <w:t>分，最多得</w:t>
            </w:r>
            <w:r>
              <w:rPr>
                <w:rFonts w:hint="eastAsia" w:ascii="宋体" w:hAnsi="宋体" w:cs="宋体"/>
                <w:kern w:val="0"/>
                <w:sz w:val="21"/>
                <w:szCs w:val="21"/>
                <w:lang w:val="en-US" w:eastAsia="zh-CN"/>
              </w:rPr>
              <w:t>10</w:t>
            </w:r>
            <w:r>
              <w:rPr>
                <w:rFonts w:hint="eastAsia" w:ascii="宋体" w:hAnsi="宋体" w:eastAsia="宋体" w:cs="宋体"/>
                <w:kern w:val="0"/>
                <w:sz w:val="21"/>
                <w:szCs w:val="21"/>
              </w:rPr>
              <w:t>分。</w:t>
            </w:r>
            <w:bookmarkStart w:id="0" w:name="_GoBack"/>
            <w:bookmarkEnd w:id="0"/>
          </w:p>
        </w:tc>
        <w:tc>
          <w:tcPr>
            <w:tcW w:w="170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提供合同复印件并加盖投标人鲜章</w:t>
            </w:r>
          </w:p>
        </w:tc>
      </w:tr>
      <w:tr>
        <w:tblPrEx>
          <w:tblLayout w:type="fixed"/>
          <w:tblCellMar>
            <w:top w:w="0" w:type="dxa"/>
            <w:left w:w="108" w:type="dxa"/>
            <w:bottom w:w="0" w:type="dxa"/>
            <w:right w:w="108" w:type="dxa"/>
          </w:tblCellMar>
        </w:tblPrEx>
        <w:trPr>
          <w:trHeight w:val="20" w:hRule="atLeast"/>
          <w:jc w:val="center"/>
        </w:trPr>
        <w:tc>
          <w:tcPr>
            <w:tcW w:w="45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10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相关证书</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0%）</w:t>
            </w:r>
          </w:p>
        </w:tc>
        <w:tc>
          <w:tcPr>
            <w:tcW w:w="81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10分</w:t>
            </w:r>
          </w:p>
        </w:tc>
        <w:tc>
          <w:tcPr>
            <w:tcW w:w="465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投标人</w:t>
            </w:r>
            <w:r>
              <w:t>或所投</w:t>
            </w:r>
            <w:r>
              <w:rPr>
                <w:rFonts w:hint="eastAsia" w:ascii="宋体" w:hAnsi="宋体" w:eastAsia="宋体" w:cs="宋体"/>
                <w:kern w:val="0"/>
                <w:sz w:val="21"/>
                <w:szCs w:val="21"/>
                <w:lang w:eastAsia="zh-CN"/>
              </w:rPr>
              <w:t>的“</w:t>
            </w:r>
            <w:r>
              <w:rPr>
                <w:rFonts w:hint="eastAsia" w:ascii="宋体" w:hAnsi="宋体" w:eastAsia="宋体" w:cs="宋体"/>
                <w:kern w:val="0"/>
                <w:sz w:val="21"/>
                <w:szCs w:val="21"/>
                <w:lang w:val="en-US" w:eastAsia="zh-CN"/>
              </w:rPr>
              <w:t>智能排队系统”；“智能排队系统客户端叫号软件”；“智能排队系统客户端显示软件”；“数据同步服务软件”；“智慧门诊系统”</w:t>
            </w:r>
            <w:r>
              <w:t>软件产品制造商具有类似软件产品著作权证书</w:t>
            </w:r>
            <w:r>
              <w:rPr>
                <w:rFonts w:hint="eastAsia"/>
                <w:lang w:eastAsia="zh-CN"/>
              </w:rPr>
              <w:t>，</w:t>
            </w:r>
            <w:r>
              <w:t>要求：提供类似产品软件著作权证书，著作权证书加盖投标人电子印章。</w:t>
            </w:r>
            <w:r>
              <w:rPr>
                <w:rFonts w:hint="eastAsia" w:ascii="宋体" w:hAnsi="宋体" w:eastAsia="宋体" w:cs="宋体"/>
                <w:sz w:val="21"/>
                <w:szCs w:val="21"/>
              </w:rPr>
              <w:t>每缺一项扣</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t>本项扣完为止。</w:t>
            </w:r>
          </w:p>
        </w:tc>
        <w:tc>
          <w:tcPr>
            <w:tcW w:w="170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kern w:val="0"/>
                <w:sz w:val="21"/>
                <w:szCs w:val="21"/>
                <w:lang w:eastAsia="zh-CN"/>
              </w:rPr>
            </w:pPr>
          </w:p>
        </w:tc>
      </w:tr>
    </w:tbl>
    <w:p>
      <w:pPr>
        <w:pStyle w:val="14"/>
        <w:pageBreakBefore w:val="0"/>
        <w:kinsoku/>
        <w:wordWrap/>
        <w:overflowPunct/>
        <w:topLinePunct w:val="0"/>
        <w:autoSpaceDE/>
        <w:autoSpaceDN/>
        <w:bidi w:val="0"/>
        <w:spacing w:line="600" w:lineRule="exact"/>
        <w:ind w:firstLine="480"/>
        <w:textAlignment w:val="auto"/>
        <w:rPr>
          <w:sz w:val="24"/>
          <w:szCs w:val="24"/>
        </w:rPr>
      </w:pPr>
    </w:p>
    <w:p>
      <w:pPr>
        <w:pStyle w:val="14"/>
        <w:pageBreakBefore w:val="0"/>
        <w:kinsoku/>
        <w:wordWrap/>
        <w:overflowPunct/>
        <w:topLinePunct w:val="0"/>
        <w:autoSpaceDE/>
        <w:autoSpaceDN/>
        <w:bidi w:val="0"/>
        <w:spacing w:line="600" w:lineRule="exact"/>
        <w:ind w:firstLine="480"/>
        <w:jc w:val="both"/>
        <w:textAlignment w:val="auto"/>
        <w:rPr>
          <w:rFonts w:hint="default"/>
          <w:sz w:val="24"/>
          <w:szCs w:val="24"/>
        </w:rPr>
      </w:pPr>
      <w:r>
        <w:rPr>
          <w:sz w:val="24"/>
          <w:szCs w:val="24"/>
        </w:rPr>
        <w:t>说明：</w:t>
      </w:r>
    </w:p>
    <w:p>
      <w:pPr>
        <w:pStyle w:val="14"/>
        <w:pageBreakBefore w:val="0"/>
        <w:kinsoku/>
        <w:wordWrap/>
        <w:overflowPunct/>
        <w:topLinePunct w:val="0"/>
        <w:autoSpaceDE/>
        <w:autoSpaceDN/>
        <w:bidi w:val="0"/>
        <w:spacing w:line="600" w:lineRule="exact"/>
        <w:ind w:firstLine="480"/>
        <w:jc w:val="both"/>
        <w:textAlignment w:val="auto"/>
        <w:rPr>
          <w:rFonts w:hint="default"/>
          <w:sz w:val="24"/>
          <w:szCs w:val="24"/>
        </w:rPr>
      </w:pPr>
      <w:r>
        <w:rPr>
          <w:sz w:val="24"/>
          <w:szCs w:val="24"/>
        </w:rPr>
        <w:t>1、评分的取值按四舍五入法，保留小数点后两位；</w:t>
      </w:r>
    </w:p>
    <w:p>
      <w:pPr>
        <w:pStyle w:val="14"/>
        <w:pageBreakBefore w:val="0"/>
        <w:kinsoku/>
        <w:wordWrap/>
        <w:overflowPunct/>
        <w:topLinePunct w:val="0"/>
        <w:autoSpaceDE/>
        <w:autoSpaceDN/>
        <w:bidi w:val="0"/>
        <w:spacing w:line="600" w:lineRule="exact"/>
        <w:ind w:firstLine="480"/>
        <w:jc w:val="both"/>
        <w:textAlignment w:val="auto"/>
        <w:rPr>
          <w:rFonts w:hint="eastAsia" w:ascii="仿宋" w:hAnsi="仿宋" w:eastAsia="仿宋" w:cs="仿宋"/>
          <w:sz w:val="28"/>
          <w:szCs w:val="28"/>
          <w:lang w:val="en-US" w:eastAsia="zh-CN"/>
        </w:rPr>
      </w:pPr>
      <w:r>
        <w:rPr>
          <w:sz w:val="24"/>
          <w:szCs w:val="24"/>
        </w:rPr>
        <w:t>2、评分标准中要求提供的证明材料须清晰可辨。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EE76"/>
    <w:multiLevelType w:val="singleLevel"/>
    <w:tmpl w:val="129CEE76"/>
    <w:lvl w:ilvl="0" w:tentative="0">
      <w:start w:val="5"/>
      <w:numFmt w:val="chineseCounting"/>
      <w:suff w:val="nothing"/>
      <w:lvlText w:val="%1、"/>
      <w:lvlJc w:val="left"/>
      <w:rPr>
        <w:rFonts w:hint="eastAsia"/>
      </w:rPr>
    </w:lvl>
  </w:abstractNum>
  <w:abstractNum w:abstractNumId="1">
    <w:nsid w:val="2A3096C5"/>
    <w:multiLevelType w:val="singleLevel"/>
    <w:tmpl w:val="2A3096C5"/>
    <w:lvl w:ilvl="0" w:tentative="0">
      <w:start w:val="1"/>
      <w:numFmt w:val="chineseCounting"/>
      <w:suff w:val="nothing"/>
      <w:lvlText w:val="%1、"/>
      <w:lvlJc w:val="left"/>
      <w:rPr>
        <w:rFonts w:hint="eastAsia"/>
      </w:rPr>
    </w:lvl>
  </w:abstractNum>
  <w:abstractNum w:abstractNumId="2">
    <w:nsid w:val="51EF2904"/>
    <w:multiLevelType w:val="singleLevel"/>
    <w:tmpl w:val="51EF290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YzBlOGQ5ODRkYThkNzc2MzBjZjk0NTdhYThjNGYifQ=="/>
  </w:docVars>
  <w:rsids>
    <w:rsidRoot w:val="00000000"/>
    <w:rsid w:val="00BE7797"/>
    <w:rsid w:val="014C4DA3"/>
    <w:rsid w:val="01FA4D93"/>
    <w:rsid w:val="02F72AEC"/>
    <w:rsid w:val="03B94246"/>
    <w:rsid w:val="04207E21"/>
    <w:rsid w:val="049F51EA"/>
    <w:rsid w:val="04CD61FB"/>
    <w:rsid w:val="0697525C"/>
    <w:rsid w:val="070457D8"/>
    <w:rsid w:val="091807ED"/>
    <w:rsid w:val="0A256763"/>
    <w:rsid w:val="0A441B8A"/>
    <w:rsid w:val="0B45010B"/>
    <w:rsid w:val="0DBE0DD6"/>
    <w:rsid w:val="0E460DCC"/>
    <w:rsid w:val="0EB83A78"/>
    <w:rsid w:val="0F1F64FF"/>
    <w:rsid w:val="100A17A3"/>
    <w:rsid w:val="10846B12"/>
    <w:rsid w:val="113B273E"/>
    <w:rsid w:val="119105B0"/>
    <w:rsid w:val="11943BFC"/>
    <w:rsid w:val="120945EA"/>
    <w:rsid w:val="132A4818"/>
    <w:rsid w:val="14FC3F92"/>
    <w:rsid w:val="15CE2E0F"/>
    <w:rsid w:val="16493207"/>
    <w:rsid w:val="18D47700"/>
    <w:rsid w:val="1BB11F7A"/>
    <w:rsid w:val="1C346962"/>
    <w:rsid w:val="1CE21541"/>
    <w:rsid w:val="1D4251A9"/>
    <w:rsid w:val="1EAA4A5F"/>
    <w:rsid w:val="1F26058A"/>
    <w:rsid w:val="20A14E54"/>
    <w:rsid w:val="210963B5"/>
    <w:rsid w:val="21747CD2"/>
    <w:rsid w:val="23384757"/>
    <w:rsid w:val="25387269"/>
    <w:rsid w:val="2580570A"/>
    <w:rsid w:val="25E44CFA"/>
    <w:rsid w:val="25F56F08"/>
    <w:rsid w:val="269C7383"/>
    <w:rsid w:val="26F70105"/>
    <w:rsid w:val="285C501C"/>
    <w:rsid w:val="286E0A5F"/>
    <w:rsid w:val="289522DC"/>
    <w:rsid w:val="28C14F57"/>
    <w:rsid w:val="29F90873"/>
    <w:rsid w:val="29FC7EF7"/>
    <w:rsid w:val="2B7D131A"/>
    <w:rsid w:val="2BB94533"/>
    <w:rsid w:val="2BC75B8A"/>
    <w:rsid w:val="2D02325C"/>
    <w:rsid w:val="2D1C2FCC"/>
    <w:rsid w:val="2FAF0127"/>
    <w:rsid w:val="2FFA3A98"/>
    <w:rsid w:val="31D6516E"/>
    <w:rsid w:val="31DE3415"/>
    <w:rsid w:val="324C62CD"/>
    <w:rsid w:val="326351F9"/>
    <w:rsid w:val="332B21BB"/>
    <w:rsid w:val="336D27D3"/>
    <w:rsid w:val="349B6ECC"/>
    <w:rsid w:val="35E87EEF"/>
    <w:rsid w:val="37A10C9D"/>
    <w:rsid w:val="388D6B1C"/>
    <w:rsid w:val="38B467AE"/>
    <w:rsid w:val="3A3B7187"/>
    <w:rsid w:val="3A6164C2"/>
    <w:rsid w:val="3AD13648"/>
    <w:rsid w:val="3B0609AF"/>
    <w:rsid w:val="3B300614"/>
    <w:rsid w:val="3BEE0229"/>
    <w:rsid w:val="3CB7061B"/>
    <w:rsid w:val="3D9C57E9"/>
    <w:rsid w:val="3DA50D0C"/>
    <w:rsid w:val="3EC51715"/>
    <w:rsid w:val="3FBA6DA0"/>
    <w:rsid w:val="40CE4185"/>
    <w:rsid w:val="40E05C12"/>
    <w:rsid w:val="41E81277"/>
    <w:rsid w:val="42980EEF"/>
    <w:rsid w:val="43452E25"/>
    <w:rsid w:val="43761230"/>
    <w:rsid w:val="43880F63"/>
    <w:rsid w:val="442A5B77"/>
    <w:rsid w:val="44427364"/>
    <w:rsid w:val="45537A72"/>
    <w:rsid w:val="48671147"/>
    <w:rsid w:val="48721EDE"/>
    <w:rsid w:val="48897310"/>
    <w:rsid w:val="49816239"/>
    <w:rsid w:val="4A895CED"/>
    <w:rsid w:val="4BEE1CB3"/>
    <w:rsid w:val="4CEA67EB"/>
    <w:rsid w:val="525210BA"/>
    <w:rsid w:val="53811858"/>
    <w:rsid w:val="543D1569"/>
    <w:rsid w:val="5559450E"/>
    <w:rsid w:val="56156687"/>
    <w:rsid w:val="57EA6FAF"/>
    <w:rsid w:val="58975A79"/>
    <w:rsid w:val="58AB5080"/>
    <w:rsid w:val="59C75E8A"/>
    <w:rsid w:val="5AE60292"/>
    <w:rsid w:val="5C497514"/>
    <w:rsid w:val="5C993387"/>
    <w:rsid w:val="5D153461"/>
    <w:rsid w:val="5D5E4DB7"/>
    <w:rsid w:val="5DAF73C1"/>
    <w:rsid w:val="5E40626B"/>
    <w:rsid w:val="5EBF3633"/>
    <w:rsid w:val="5F606BAD"/>
    <w:rsid w:val="5FBC71BD"/>
    <w:rsid w:val="607466A0"/>
    <w:rsid w:val="60A26D69"/>
    <w:rsid w:val="610F2B49"/>
    <w:rsid w:val="61994610"/>
    <w:rsid w:val="61E346CD"/>
    <w:rsid w:val="61F4032C"/>
    <w:rsid w:val="621023F8"/>
    <w:rsid w:val="628E0A29"/>
    <w:rsid w:val="634A1B87"/>
    <w:rsid w:val="66726677"/>
    <w:rsid w:val="67552CF5"/>
    <w:rsid w:val="683C7AA3"/>
    <w:rsid w:val="69194FAE"/>
    <w:rsid w:val="694806C9"/>
    <w:rsid w:val="69D73AC6"/>
    <w:rsid w:val="6A182E0D"/>
    <w:rsid w:val="6A1F58CE"/>
    <w:rsid w:val="6A814375"/>
    <w:rsid w:val="6BB67B6C"/>
    <w:rsid w:val="6BF1329A"/>
    <w:rsid w:val="6D3B2A1F"/>
    <w:rsid w:val="6D8A305E"/>
    <w:rsid w:val="6DA32FCD"/>
    <w:rsid w:val="6DDB1B0C"/>
    <w:rsid w:val="6E3A5F0F"/>
    <w:rsid w:val="6EA4236F"/>
    <w:rsid w:val="708B7819"/>
    <w:rsid w:val="70DA4E7A"/>
    <w:rsid w:val="71926986"/>
    <w:rsid w:val="722F2426"/>
    <w:rsid w:val="724834E8"/>
    <w:rsid w:val="73B13A3B"/>
    <w:rsid w:val="750B717B"/>
    <w:rsid w:val="754461E9"/>
    <w:rsid w:val="774B6FF9"/>
    <w:rsid w:val="781F01BA"/>
    <w:rsid w:val="78667797"/>
    <w:rsid w:val="792D44A9"/>
    <w:rsid w:val="79B94EDF"/>
    <w:rsid w:val="79FA5A10"/>
    <w:rsid w:val="7ABE2599"/>
    <w:rsid w:val="7B6A44CF"/>
    <w:rsid w:val="7BBD4F47"/>
    <w:rsid w:val="7E9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2"/>
    <w:next w:val="1"/>
    <w:qFormat/>
    <w:uiPriority w:val="0"/>
    <w:pPr>
      <w:tabs>
        <w:tab w:val="left" w:pos="1500"/>
      </w:tabs>
      <w:ind w:firstLine="420" w:firstLineChars="100"/>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paragraph" w:customStyle="1" w:styleId="13">
    <w:name w:val="样式2"/>
    <w:basedOn w:val="14"/>
    <w:qFormat/>
    <w:uiPriority w:val="0"/>
    <w:rPr>
      <w:rFonts w:hint="default"/>
      <w:color w:val="0000FF"/>
    </w:rPr>
  </w:style>
  <w:style w:type="paragraph" w:customStyle="1" w:styleId="14">
    <w:name w:val="null3"/>
    <w:qFormat/>
    <w:uiPriority w:val="0"/>
    <w:rPr>
      <w:rFonts w:hint="eastAsia" w:ascii="Calibri" w:hAnsi="Calibri" w:eastAsia="宋体" w:cs="Times New Roman"/>
      <w:lang w:val="en-US" w:eastAsia="zh-CN" w:bidi="ar-SA"/>
    </w:rPr>
  </w:style>
  <w:style w:type="character" w:customStyle="1" w:styleId="15">
    <w:name w:val="font21"/>
    <w:basedOn w:val="11"/>
    <w:qFormat/>
    <w:uiPriority w:val="0"/>
    <w:rPr>
      <w:rFonts w:hint="eastAsia" w:ascii="宋体" w:hAnsi="宋体" w:eastAsia="宋体" w:cs="宋体"/>
      <w:color w:val="000000"/>
      <w:sz w:val="28"/>
      <w:szCs w:val="28"/>
      <w:u w:val="none"/>
    </w:rPr>
  </w:style>
  <w:style w:type="character" w:customStyle="1" w:styleId="16">
    <w:name w:val="font11"/>
    <w:basedOn w:val="11"/>
    <w:qFormat/>
    <w:uiPriority w:val="0"/>
    <w:rPr>
      <w:rFonts w:hint="eastAsia" w:ascii="宋体" w:hAnsi="宋体" w:eastAsia="宋体" w:cs="宋体"/>
      <w:b/>
      <w:bCs/>
      <w:color w:val="000000"/>
      <w:sz w:val="28"/>
      <w:szCs w:val="28"/>
      <w:u w:val="none"/>
    </w:rPr>
  </w:style>
  <w:style w:type="character" w:customStyle="1" w:styleId="17">
    <w:name w:val="font5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2234</Words>
  <Characters>2379</Characters>
  <Lines>0</Lines>
  <Paragraphs>0</Paragraphs>
  <TotalTime>14</TotalTime>
  <ScaleCrop>false</ScaleCrop>
  <LinksUpToDate>false</LinksUpToDate>
  <CharactersWithSpaces>2380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2024-03-11T01:10:00Z</dcterms:created>
  <dc:creator>1</dc:creator>
  <cp:lastModifiedBy>HP</cp:lastModifiedBy>
  <dcterms:modified xsi:type="dcterms:W3CDTF">2024-05-27T08:10:09Z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F70338486C934519B4ADCB4A20C5D65B_12</vt:lpwstr>
  </property>
</Properties>
</file>