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大邑县人民医院</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内科大楼、外科大楼屋面雨棚安全评估项目</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比选文件</w:t>
      </w:r>
    </w:p>
    <w:p>
      <w:pPr>
        <w:pStyle w:val="2"/>
        <w:jc w:val="both"/>
        <w:rPr>
          <w:rFonts w:hint="eastAsia" w:ascii="宋体" w:hAnsi="宋体" w:eastAsia="宋体" w:cs="宋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大邑县人民医院内科大楼、外科大楼屋面雨棚安全评估项目</w:t>
      </w:r>
      <w:r>
        <w:rPr>
          <w:rFonts w:hint="eastAsia" w:ascii="宋体" w:hAnsi="宋体" w:eastAsia="宋体" w:cs="宋体"/>
          <w:sz w:val="24"/>
          <w:szCs w:val="24"/>
        </w:rPr>
        <w:t>，按照工作进程及各相关单位研究通过，</w:t>
      </w:r>
      <w:r>
        <w:rPr>
          <w:rFonts w:hint="eastAsia" w:ascii="宋体" w:hAnsi="宋体" w:eastAsia="宋体" w:cs="宋体"/>
          <w:sz w:val="24"/>
          <w:szCs w:val="24"/>
          <w:lang w:eastAsia="zh-CN"/>
        </w:rPr>
        <w:t>采购此项目安全评估</w:t>
      </w:r>
      <w:r>
        <w:rPr>
          <w:rFonts w:hint="eastAsia" w:ascii="宋体" w:hAnsi="宋体" w:eastAsia="宋体" w:cs="宋体"/>
          <w:sz w:val="24"/>
          <w:szCs w:val="24"/>
          <w:lang w:val="en-US" w:eastAsia="zh-CN"/>
        </w:rPr>
        <w:t>服务</w:t>
      </w:r>
      <w:r>
        <w:rPr>
          <w:rFonts w:hint="eastAsia" w:ascii="宋体" w:hAnsi="宋体" w:eastAsia="宋体" w:cs="宋体"/>
          <w:sz w:val="24"/>
          <w:szCs w:val="24"/>
        </w:rPr>
        <w:t>单位</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一、项目业主：大邑县人民医院</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rPr>
        <w:t>二、项目名称：</w:t>
      </w:r>
      <w:r>
        <w:rPr>
          <w:rFonts w:hint="eastAsia" w:ascii="宋体" w:hAnsi="宋体" w:eastAsia="宋体" w:cs="宋体"/>
          <w:b/>
          <w:bCs/>
          <w:sz w:val="24"/>
          <w:szCs w:val="24"/>
          <w:lang w:val="en-US" w:eastAsia="zh-CN"/>
        </w:rPr>
        <w:t>内科大楼、外科大楼屋面雨棚安全评估项目</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三、项目概况</w:t>
      </w:r>
      <w:r>
        <w:rPr>
          <w:rFonts w:hint="eastAsia" w:ascii="仿宋" w:hAnsi="仿宋" w:eastAsia="仿宋" w:cs="宋体"/>
          <w:b/>
          <w:bCs/>
          <w:kern w:val="0"/>
          <w:sz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.评估</w:t>
      </w:r>
      <w:r>
        <w:rPr>
          <w:rFonts w:hint="eastAsia" w:ascii="宋体" w:hAnsi="宋体" w:eastAsia="宋体" w:cs="宋体"/>
          <w:sz w:val="24"/>
          <w:szCs w:val="24"/>
        </w:rPr>
        <w:t>地点:四川省成都市大邑县北街323号。</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工程规模(和/或标准):</w:t>
      </w:r>
      <w:r>
        <w:rPr>
          <w:rFonts w:hint="eastAsia" w:ascii="宋体" w:hAnsi="宋体" w:eastAsia="宋体" w:cs="宋体"/>
          <w:sz w:val="24"/>
          <w:szCs w:val="24"/>
          <w:lang w:eastAsia="zh-CN"/>
        </w:rPr>
        <w:t>达到国家规定的验收标准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3.鉴定内容：对大邑县人民医院内科大楼、外科大楼屋面雨棚进行安全隐患排查，并出具安全评估报告。</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lang w:val="en-US" w:eastAsia="zh-CN"/>
        </w:rPr>
      </w:pPr>
      <w:r>
        <w:rPr>
          <w:rFonts w:hint="eastAsia" w:ascii="宋体" w:hAnsi="宋体" w:eastAsia="宋体" w:cs="宋体"/>
          <w:sz w:val="24"/>
          <w:szCs w:val="24"/>
          <w:lang w:val="en-US" w:eastAsia="zh-CN"/>
        </w:rPr>
        <w:t>4.鉴定面积：3444㎡（内科大楼雨棚1744㎡、外科大楼雨棚1700㎡）。</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四、预算金额：34440元。</w:t>
      </w:r>
    </w:p>
    <w:p>
      <w:pPr>
        <w:pStyle w:val="2"/>
        <w:rPr>
          <w:rFonts w:hint="eastAsia" w:eastAsia="宋体"/>
          <w:lang w:val="en-US" w:eastAsia="zh-CN"/>
        </w:rPr>
      </w:pPr>
      <w:r>
        <w:rPr>
          <w:rFonts w:hint="eastAsia" w:ascii="宋体" w:hAnsi="宋体" w:eastAsia="宋体" w:cs="宋体"/>
          <w:b/>
          <w:bCs/>
          <w:sz w:val="24"/>
          <w:szCs w:val="24"/>
          <w:lang w:val="en-US" w:eastAsia="zh-CN"/>
        </w:rPr>
        <w:t xml:space="preserve">    五、评标方法：综合评分法。</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w:t>
      </w:r>
      <w:r>
        <w:rPr>
          <w:rFonts w:hint="default" w:ascii="宋体" w:hAnsi="宋体" w:eastAsia="宋体" w:cs="宋体"/>
          <w:b/>
          <w:bCs/>
          <w:sz w:val="24"/>
          <w:szCs w:val="24"/>
          <w:lang w:val="en-US" w:eastAsia="zh-CN"/>
        </w:rPr>
        <w:t>比选申请人参加本次比选活动，应当具备下列条件：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3.具有履行合同所必须的设备和专业技术能力；</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5.参加本次政府采购活动前三年内，在经营活动中没有重大违法记录；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6.1单位负责人为同一人或者存在直接控股、管理关系的不同比选申请人，不得参加同一合同项下的比选活动。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6.2供应商单位及其法定代表人、主要负责人不得具有行贿犯罪记录。</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6.3拒绝列入失信被执行人、重大税收违法案件当事人名单、政府采购严重违法失信行为记录名单的比选申请人参加本次比选活动；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有效期内的行政主管部门颁发</w:t>
      </w:r>
      <w:r>
        <w:rPr>
          <w:rFonts w:hint="eastAsia" w:ascii="宋体" w:hAnsi="宋体" w:eastAsia="宋体" w:cs="宋体"/>
          <w:sz w:val="24"/>
          <w:szCs w:val="24"/>
          <w:lang w:eastAsia="zh-CN"/>
        </w:rPr>
        <w:t>的《建设工程质量检测机构资质证书》（</w:t>
      </w:r>
      <w:r>
        <w:rPr>
          <w:rFonts w:hint="eastAsia" w:ascii="宋体" w:hAnsi="宋体" w:eastAsia="宋体" w:cs="宋体"/>
          <w:sz w:val="24"/>
          <w:szCs w:val="24"/>
          <w:lang w:val="en-US" w:eastAsia="zh-CN"/>
        </w:rPr>
        <w:t>包含但不限于：钢结构工程检测类、主体结构工程检测类</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8.须是</w:t>
      </w:r>
      <w:r>
        <w:rPr>
          <w:rFonts w:hint="eastAsia" w:ascii="宋体" w:hAnsi="宋体" w:eastAsia="宋体" w:cs="宋体"/>
          <w:sz w:val="24"/>
          <w:szCs w:val="24"/>
          <w:lang w:eastAsia="zh-CN"/>
        </w:rPr>
        <w:t>成都市城乡房产管理局审核纳入《成都市房屋安全鉴定机构名录》的机构；</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具有</w:t>
      </w:r>
      <w:r>
        <w:rPr>
          <w:rFonts w:hint="eastAsia" w:ascii="宋体" w:hAnsi="宋体" w:eastAsia="宋体" w:cs="宋体"/>
          <w:sz w:val="24"/>
          <w:szCs w:val="24"/>
          <w:lang w:val="en-US" w:eastAsia="zh-CN"/>
        </w:rPr>
        <w:t>有效期内的行政主管部门颁发的</w:t>
      </w:r>
      <w:r>
        <w:rPr>
          <w:rFonts w:hint="eastAsia" w:ascii="宋体" w:hAnsi="宋体" w:eastAsia="宋体" w:cs="宋体"/>
          <w:sz w:val="24"/>
          <w:szCs w:val="24"/>
          <w:lang w:eastAsia="zh-CN"/>
        </w:rPr>
        <w:t>检验检测机构资质认定证书</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default" w:ascii="宋体" w:hAnsi="宋体" w:eastAsia="宋体" w:cs="宋体"/>
          <w:sz w:val="24"/>
          <w:szCs w:val="24"/>
          <w:lang w:val="en-US" w:eastAsia="zh-CN"/>
        </w:rPr>
        <w:t>本项目不接受联合体参加比选。</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仿宋" w:hAnsi="仿宋" w:eastAsia="仿宋" w:cs="宋体"/>
          <w:b/>
          <w:bCs/>
          <w:kern w:val="0"/>
          <w:sz w:val="24"/>
        </w:rPr>
      </w:pPr>
      <w:r>
        <w:rPr>
          <w:rFonts w:hint="eastAsia" w:ascii="宋体" w:hAnsi="宋体" w:eastAsia="宋体" w:cs="宋体"/>
          <w:b/>
          <w:bCs/>
          <w:sz w:val="24"/>
          <w:szCs w:val="24"/>
          <w:lang w:val="en-US" w:eastAsia="zh-CN"/>
        </w:rPr>
        <w:t>七、</w:t>
      </w:r>
      <w:r>
        <w:rPr>
          <w:rFonts w:hint="eastAsia" w:ascii="宋体" w:hAnsi="宋体" w:eastAsia="宋体" w:cs="宋体"/>
          <w:b/>
          <w:bCs/>
          <w:sz w:val="24"/>
          <w:szCs w:val="24"/>
        </w:rPr>
        <w:t>服务要求</w:t>
      </w:r>
      <w:r>
        <w:rPr>
          <w:rFonts w:hint="eastAsia" w:ascii="仿宋" w:hAnsi="仿宋" w:eastAsia="仿宋" w:cs="宋体"/>
          <w:b/>
          <w:bCs/>
          <w:kern w:val="0"/>
          <w:sz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评估机构必须严格按照</w:t>
      </w:r>
      <w:r>
        <w:rPr>
          <w:rFonts w:hint="eastAsia" w:ascii="宋体" w:hAnsi="宋体" w:eastAsia="宋体" w:cs="宋体"/>
          <w:sz w:val="24"/>
          <w:szCs w:val="24"/>
          <w:lang w:eastAsia="zh-CN"/>
        </w:rPr>
        <w:t>相关</w:t>
      </w:r>
      <w:r>
        <w:rPr>
          <w:rFonts w:hint="eastAsia" w:ascii="宋体" w:hAnsi="宋体" w:eastAsia="宋体" w:cs="宋体"/>
          <w:sz w:val="24"/>
          <w:szCs w:val="24"/>
        </w:rPr>
        <w:t>法律法规要求独立、客观、公正地开展评估工作，并对评估结果承担法律责任。</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成交的评估机构应根据采购人业务要求及时开展评估工作，在接到评估委托任务并收集相关评估基础数据完毕后</w:t>
      </w:r>
      <w:r>
        <w:rPr>
          <w:rFonts w:hint="eastAsia" w:ascii="宋体" w:hAnsi="宋体" w:eastAsia="宋体" w:cs="宋体"/>
          <w:color w:val="auto"/>
          <w:sz w:val="24"/>
          <w:szCs w:val="24"/>
          <w:lang w:val="en-US" w:eastAsia="zh-CN"/>
        </w:rPr>
        <w:t>5</w:t>
      </w:r>
      <w:r>
        <w:rPr>
          <w:rFonts w:hint="eastAsia" w:ascii="宋体" w:hAnsi="宋体" w:eastAsia="宋体" w:cs="宋体"/>
          <w:sz w:val="24"/>
          <w:szCs w:val="24"/>
        </w:rPr>
        <w:t>日内提交评估结果，或根据采购人业务要求出具评估结果。</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评估过程中，必须按照国家的相关规定、规范操作。如发生违规操作或其他违法违纪行为，一经发现将立即终止该评估活动。</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在合同有效期内，成交供应商未按采购文件的规定及合同的约定完成工作的，采购人有权解除合同。</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后续服务要求</w:t>
      </w:r>
      <w:r>
        <w:rPr>
          <w:rFonts w:hint="eastAsia" w:ascii="宋体" w:hAnsi="宋体" w:eastAsia="宋体" w:cs="宋体"/>
          <w:sz w:val="24"/>
          <w:szCs w:val="24"/>
          <w:lang w:eastAsia="zh-CN"/>
        </w:rPr>
        <w:t>，</w:t>
      </w:r>
      <w:r>
        <w:rPr>
          <w:rFonts w:hint="eastAsia" w:ascii="宋体" w:hAnsi="宋体" w:eastAsia="宋体" w:cs="宋体"/>
          <w:sz w:val="24"/>
          <w:szCs w:val="24"/>
        </w:rPr>
        <w:t>采购人在使用评估结果的过程中如有任何需要供应商配合的情况，供应商应在采购人规定的时间内完成相关的配合任务。</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八</w:t>
      </w:r>
      <w:r>
        <w:rPr>
          <w:rFonts w:hint="eastAsia" w:ascii="宋体" w:hAnsi="宋体" w:eastAsia="宋体" w:cs="宋体"/>
          <w:b/>
          <w:bCs/>
          <w:sz w:val="24"/>
          <w:szCs w:val="24"/>
        </w:rPr>
        <w:t>、商务要求</w:t>
      </w:r>
      <w:r>
        <w:rPr>
          <w:rFonts w:hint="eastAsia" w:ascii="仿宋" w:hAnsi="仿宋" w:eastAsia="仿宋" w:cs="宋体"/>
          <w:b/>
          <w:bCs/>
          <w:kern w:val="0"/>
          <w:sz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服务期限：签订合同后</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w:t>
      </w:r>
      <w:r>
        <w:rPr>
          <w:rFonts w:hint="eastAsia" w:ascii="宋体" w:hAnsi="宋体" w:eastAsia="宋体" w:cs="宋体"/>
          <w:sz w:val="24"/>
          <w:szCs w:val="24"/>
        </w:rPr>
        <w:t>内出具评估报告。</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服务地点:</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采购人指定地点。</w:t>
      </w:r>
    </w:p>
    <w:p>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付款方式: 评估机构完成履约并通过采购人验收合格且成交评估机构向采购人出具合法有效完整的完税发票及凭证资料后，在</w:t>
      </w:r>
      <w:r>
        <w:rPr>
          <w:rFonts w:hint="eastAsia" w:ascii="宋体" w:hAnsi="宋体" w:eastAsia="宋体" w:cs="宋体"/>
          <w:sz w:val="24"/>
          <w:szCs w:val="24"/>
          <w:lang w:val="en-US" w:eastAsia="zh-CN"/>
        </w:rPr>
        <w:t>20</w:t>
      </w:r>
      <w:r>
        <w:rPr>
          <w:rFonts w:hint="eastAsia" w:ascii="宋体" w:hAnsi="宋体" w:eastAsia="宋体" w:cs="宋体"/>
          <w:sz w:val="24"/>
          <w:szCs w:val="24"/>
        </w:rPr>
        <w:t>个工作日内采购人向成交评估机构支付合同总金额的100%。</w:t>
      </w:r>
      <w:r>
        <w:rPr>
          <w:rFonts w:hint="eastAsia" w:ascii="宋体" w:hAnsi="宋体" w:eastAsia="宋体" w:cs="宋体"/>
          <w:sz w:val="24"/>
          <w:szCs w:val="24"/>
          <w:lang w:val="en-US" w:eastAsia="zh-CN"/>
        </w:rPr>
        <w:t>因特殊原因可延长一个月。</w:t>
      </w:r>
    </w:p>
    <w:p>
      <w:pPr>
        <w:pStyle w:val="2"/>
        <w:ind w:firstLine="440" w:firstLineChars="200"/>
        <w:rPr>
          <w:rFonts w:hint="eastAsia" w:eastAsia="微软雅黑"/>
          <w:lang w:val="en-US" w:eastAsia="zh-CN"/>
        </w:rPr>
      </w:pPr>
    </w:p>
    <w:p>
      <w:pPr>
        <w:ind w:firstLine="482" w:firstLineChars="200"/>
        <w:rPr>
          <w:rFonts w:ascii="仿宋" w:hAnsi="仿宋" w:eastAsia="仿宋" w:cs="宋体"/>
          <w:b/>
          <w:bCs/>
          <w:kern w:val="0"/>
          <w:sz w:val="24"/>
        </w:rPr>
      </w:pPr>
      <w:r>
        <w:rPr>
          <w:rFonts w:hint="eastAsia" w:ascii="仿宋" w:hAnsi="仿宋" w:eastAsia="仿宋" w:cs="宋体"/>
          <w:b/>
          <w:bCs/>
          <w:kern w:val="0"/>
          <w:sz w:val="24"/>
          <w:lang w:eastAsia="zh-CN"/>
        </w:rPr>
        <w:t>备注：</w:t>
      </w:r>
      <w:r>
        <w:rPr>
          <w:rFonts w:ascii="仿宋" w:hAnsi="仿宋" w:eastAsia="仿宋" w:cs="宋体"/>
          <w:b/>
          <w:bCs/>
          <w:kern w:val="0"/>
          <w:sz w:val="24"/>
        </w:rPr>
        <w:t>本章采购</w:t>
      </w:r>
      <w:r>
        <w:rPr>
          <w:rFonts w:hint="eastAsia" w:ascii="仿宋" w:hAnsi="仿宋" w:eastAsia="仿宋" w:cs="宋体"/>
          <w:b/>
          <w:bCs/>
          <w:kern w:val="0"/>
          <w:sz w:val="24"/>
          <w:lang w:eastAsia="zh-CN"/>
        </w:rPr>
        <w:t>文件</w:t>
      </w:r>
      <w:r>
        <w:rPr>
          <w:rFonts w:ascii="仿宋" w:hAnsi="仿宋" w:eastAsia="仿宋" w:cs="宋体"/>
          <w:b/>
          <w:bCs/>
          <w:kern w:val="0"/>
          <w:sz w:val="24"/>
        </w:rPr>
        <w:t>中标注“</w:t>
      </w:r>
      <w:r>
        <w:rPr>
          <w:rFonts w:hint="eastAsia" w:ascii="仿宋" w:hAnsi="仿宋" w:eastAsia="仿宋" w:cs="宋体"/>
          <w:b/>
          <w:bCs/>
          <w:kern w:val="0"/>
          <w:sz w:val="24"/>
        </w:rPr>
        <w:t>★</w:t>
      </w:r>
      <w:r>
        <w:rPr>
          <w:rFonts w:ascii="仿宋" w:hAnsi="仿宋" w:eastAsia="仿宋" w:cs="宋体"/>
          <w:b/>
          <w:bCs/>
          <w:kern w:val="0"/>
          <w:sz w:val="24"/>
        </w:rPr>
        <w:t>”号的条款为本次采购项目的实质性要求，供应商应全部满足</w:t>
      </w:r>
      <w:r>
        <w:rPr>
          <w:rFonts w:hint="eastAsia" w:ascii="仿宋" w:hAnsi="仿宋" w:eastAsia="仿宋" w:cs="宋体"/>
          <w:b/>
          <w:bCs/>
          <w:kern w:val="0"/>
          <w:sz w:val="24"/>
        </w:rPr>
        <w:t>。</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after="0" w:line="24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九、综合评分细则</w:t>
      </w:r>
    </w:p>
    <w:tbl>
      <w:tblPr>
        <w:tblStyle w:val="8"/>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310"/>
        <w:gridCol w:w="897"/>
        <w:gridCol w:w="6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31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评分因素</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及权重</w:t>
            </w:r>
          </w:p>
        </w:tc>
        <w:tc>
          <w:tcPr>
            <w:tcW w:w="89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分值</w:t>
            </w:r>
          </w:p>
        </w:tc>
        <w:tc>
          <w:tcPr>
            <w:tcW w:w="62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31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报价</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w:t>
            </w:r>
          </w:p>
        </w:tc>
        <w:tc>
          <w:tcPr>
            <w:tcW w:w="89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分</w:t>
            </w:r>
          </w:p>
        </w:tc>
        <w:tc>
          <w:tcPr>
            <w:tcW w:w="6256"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rPr>
              <w:t>以本次最低有效投标报价为基准价，投标报价得分=(基准价／投标报价)*15</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注：报价得分保留小数点后2位。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5" w:hRule="atLeast"/>
          <w:jc w:val="center"/>
        </w:trPr>
        <w:tc>
          <w:tcPr>
            <w:tcW w:w="6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31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服务方案（48%）</w:t>
            </w:r>
          </w:p>
        </w:tc>
        <w:tc>
          <w:tcPr>
            <w:tcW w:w="89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48分</w:t>
            </w:r>
          </w:p>
        </w:tc>
        <w:tc>
          <w:tcPr>
            <w:tcW w:w="62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根据供应商</w:t>
            </w:r>
            <w:r>
              <w:rPr>
                <w:rFonts w:hint="eastAsia" w:ascii="宋体" w:hAnsi="宋体" w:eastAsia="宋体" w:cs="宋体"/>
                <w:color w:val="auto"/>
                <w:sz w:val="21"/>
                <w:szCs w:val="21"/>
                <w:lang w:val="en-US" w:eastAsia="zh-CN"/>
              </w:rPr>
              <w:t>针对本项目</w:t>
            </w:r>
            <w:r>
              <w:rPr>
                <w:rFonts w:hint="eastAsia" w:ascii="宋体" w:hAnsi="宋体" w:eastAsia="宋体" w:cs="宋体"/>
                <w:color w:val="auto"/>
                <w:sz w:val="21"/>
                <w:szCs w:val="21"/>
              </w:rPr>
              <w:t>提供的项目</w:t>
            </w:r>
            <w:r>
              <w:rPr>
                <w:rFonts w:hint="eastAsia" w:ascii="宋体" w:hAnsi="宋体" w:eastAsia="宋体" w:cs="宋体"/>
                <w:color w:val="auto"/>
                <w:sz w:val="21"/>
                <w:szCs w:val="21"/>
                <w:lang w:eastAsia="zh-CN"/>
              </w:rPr>
              <w:t>服务</w:t>
            </w:r>
            <w:r>
              <w:rPr>
                <w:rFonts w:hint="eastAsia" w:ascii="宋体" w:hAnsi="宋体" w:eastAsia="宋体" w:cs="宋体"/>
                <w:color w:val="auto"/>
                <w:sz w:val="21"/>
                <w:szCs w:val="21"/>
              </w:rPr>
              <w:t>方案进行评比，方案内容包括①对采购项目的理解，及实施方案②服务计划及进度管理</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资源配置计划③质量控制目标及措施④安全管理措施⑤突发事件处置措施</w:t>
            </w:r>
            <w:r>
              <w:rPr>
                <w:rFonts w:hint="eastAsia" w:ascii="宋体" w:hAnsi="宋体" w:eastAsia="宋体" w:cs="宋体"/>
                <w:color w:val="auto"/>
                <w:sz w:val="21"/>
                <w:szCs w:val="21"/>
                <w:lang w:val="en-US" w:eastAsia="zh-CN"/>
              </w:rPr>
              <w:t>⑥员工培训⑦售后服务⑧人员配置。</w:t>
            </w:r>
            <w:r>
              <w:rPr>
                <w:rFonts w:hint="eastAsia" w:ascii="宋体" w:hAnsi="宋体" w:eastAsia="宋体" w:cs="宋体"/>
                <w:color w:val="auto"/>
                <w:kern w:val="0"/>
                <w:sz w:val="21"/>
                <w:szCs w:val="21"/>
                <w:lang w:val="en-US" w:eastAsia="zh-CN"/>
              </w:rPr>
              <w:t>符合本项目实际需求，内容齐全完善满足前述八项及本项目需求且利于本项目实施的得48分，每有一项内容缺失扣6分，每一项内容不完整或有缺陷或与项目不匹配的扣3分，扣完为止，</w:t>
            </w:r>
            <w:r>
              <w:rPr>
                <w:rFonts w:hint="eastAsia" w:ascii="宋体" w:hAnsi="宋体" w:eastAsia="宋体" w:cs="宋体"/>
                <w:color w:val="auto"/>
                <w:sz w:val="21"/>
                <w:szCs w:val="21"/>
                <w:lang w:eastAsia="zh-CN"/>
              </w:rPr>
              <w:t>未提供的不得分。</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注：缺陷是指内容与实际情况不匹配、不符合项目特点、服务方案无法达到预期效果、服务方案不适用于本项目、内容不符合相关规范要求、与本项目无关等任意一种情形。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6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p>
        </w:tc>
        <w:tc>
          <w:tcPr>
            <w:tcW w:w="131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业绩</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w:t>
            </w:r>
          </w:p>
        </w:tc>
        <w:tc>
          <w:tcPr>
            <w:tcW w:w="89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20分</w:t>
            </w:r>
          </w:p>
        </w:tc>
        <w:tc>
          <w:tcPr>
            <w:tcW w:w="62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供应商提供2023年1月1日至今类似项目业绩（鉴定、排查或评估类），每提供一个得4分，最高得20分。未提供不得分。</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注：供应商需提供完整合同复印件或中标通知书复印件并加盖供应商公章。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9" w:hRule="atLeast"/>
          <w:jc w:val="center"/>
        </w:trPr>
        <w:tc>
          <w:tcPr>
            <w:tcW w:w="694"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p>
        </w:tc>
        <w:tc>
          <w:tcPr>
            <w:tcW w:w="1310"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人员配置（17%）</w:t>
            </w:r>
          </w:p>
        </w:tc>
        <w:tc>
          <w:tcPr>
            <w:tcW w:w="897"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17分</w:t>
            </w:r>
          </w:p>
        </w:tc>
        <w:tc>
          <w:tcPr>
            <w:tcW w:w="6256"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1、供应商拟投入的本项目的项目负责人（工作年限需在8年以上）：</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lang w:val="en-US" w:eastAsia="zh-CN"/>
              </w:rPr>
              <w:t>（1）具有有效期内的二级及以上注册结构工程师证书的得3分，本项最高得3分，未提供不得分；</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（2）具有有效期内的建筑相关专业高级工程师或以上职称的得3分，本项最高得3分，未提供不得分。</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2、供应商拟投入的本项目的技术负责人（工作年限需在8年以上）：</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（1）具有有效期内的建筑结构相关专业高级工程师或以上职称的得3分，本项最高得3分，未提供不得分。</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3、供应商拟投入的本项目的其他成员（不含项目负责人和技术负责人）：</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（1）每具有1名建筑相关专业工程师或以上职称的得2分，本项最高得8分，未提供不得分（工作年限需在6年以上）。</w:t>
            </w: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p>
          <w:p>
            <w:pPr>
              <w:keepNext w:val="0"/>
              <w:keepLines w:val="0"/>
              <w:pageBreakBefore w:val="0"/>
              <w:widowControl/>
              <w:kinsoku/>
              <w:wordWrap/>
              <w:overflowPunct/>
              <w:topLinePunct w:val="0"/>
              <w:autoSpaceDE/>
              <w:autoSpaceDN/>
              <w:bidi w:val="0"/>
              <w:adjustRightInd w:val="0"/>
              <w:snapToGrid w:val="0"/>
              <w:spacing w:after="0" w:line="24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注：①同一人员或同一证书不重复得分；②提供相关证书复印件及近6个月社保证明材料并加盖供应商公章。</w:t>
            </w:r>
          </w:p>
        </w:tc>
      </w:tr>
    </w:tbl>
    <w:p>
      <w:pPr>
        <w:pStyle w:val="2"/>
        <w:jc w:val="both"/>
        <w:rPr>
          <w:rFonts w:hint="eastAsia" w:ascii="宋体" w:hAnsi="宋体" w:eastAsia="宋体" w:cs="宋体"/>
          <w:b/>
          <w:bCs/>
          <w:color w:val="auto"/>
          <w:sz w:val="36"/>
          <w:szCs w:val="36"/>
          <w:lang w:val="en-US" w:eastAsia="zh-CN"/>
        </w:rPr>
      </w:pPr>
    </w:p>
    <w:sectPr>
      <w:footerReference r:id="rId5" w:type="default"/>
      <w:pgSz w:w="11906" w:h="16838"/>
      <w:pgMar w:top="1440" w:right="1800" w:bottom="1440" w:left="1800" w:header="708" w:footer="708"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2"/>
  </w:compat>
  <w:docVars>
    <w:docVar w:name="commondata" w:val="eyJoZGlkIjoiNGEzOTM5N2Q1NjA2NWY3MGNiM2EyODJiY2YwZDg2ODUifQ=="/>
  </w:docVars>
  <w:rsids>
    <w:rsidRoot w:val="00D31D50"/>
    <w:rsid w:val="00323B43"/>
    <w:rsid w:val="003D37D8"/>
    <w:rsid w:val="00426133"/>
    <w:rsid w:val="004358AB"/>
    <w:rsid w:val="008B7726"/>
    <w:rsid w:val="00D31D50"/>
    <w:rsid w:val="06590F50"/>
    <w:rsid w:val="06A513D4"/>
    <w:rsid w:val="07666DFA"/>
    <w:rsid w:val="08505FF9"/>
    <w:rsid w:val="0C1456EA"/>
    <w:rsid w:val="0C1F1670"/>
    <w:rsid w:val="0EBF033A"/>
    <w:rsid w:val="1327571C"/>
    <w:rsid w:val="13745E50"/>
    <w:rsid w:val="15192D89"/>
    <w:rsid w:val="170B02A1"/>
    <w:rsid w:val="18070044"/>
    <w:rsid w:val="1A3C6097"/>
    <w:rsid w:val="1A716345"/>
    <w:rsid w:val="1F3B7C87"/>
    <w:rsid w:val="20124F27"/>
    <w:rsid w:val="20D62BAB"/>
    <w:rsid w:val="273B72DF"/>
    <w:rsid w:val="27EE2129"/>
    <w:rsid w:val="29714B2E"/>
    <w:rsid w:val="29B5544A"/>
    <w:rsid w:val="2A7D1552"/>
    <w:rsid w:val="2BD57111"/>
    <w:rsid w:val="2DC93A2E"/>
    <w:rsid w:val="2F280D4D"/>
    <w:rsid w:val="33075FBB"/>
    <w:rsid w:val="352D3242"/>
    <w:rsid w:val="361B53F5"/>
    <w:rsid w:val="38B57116"/>
    <w:rsid w:val="3C9B72CD"/>
    <w:rsid w:val="3D94651A"/>
    <w:rsid w:val="3FB86E7C"/>
    <w:rsid w:val="3FBC5CDF"/>
    <w:rsid w:val="40D044C4"/>
    <w:rsid w:val="41CC2C17"/>
    <w:rsid w:val="42D92AF6"/>
    <w:rsid w:val="4327548A"/>
    <w:rsid w:val="43DF3F21"/>
    <w:rsid w:val="44146085"/>
    <w:rsid w:val="44E15E62"/>
    <w:rsid w:val="45327D21"/>
    <w:rsid w:val="45D37B15"/>
    <w:rsid w:val="46113492"/>
    <w:rsid w:val="462431C5"/>
    <w:rsid w:val="462F6E06"/>
    <w:rsid w:val="47184081"/>
    <w:rsid w:val="48DF05CD"/>
    <w:rsid w:val="4916346E"/>
    <w:rsid w:val="49471A3A"/>
    <w:rsid w:val="4A254FDE"/>
    <w:rsid w:val="4A362FFF"/>
    <w:rsid w:val="4B451E71"/>
    <w:rsid w:val="4F36003B"/>
    <w:rsid w:val="4F831BF0"/>
    <w:rsid w:val="4FFB1FC1"/>
    <w:rsid w:val="50A53155"/>
    <w:rsid w:val="50A9489E"/>
    <w:rsid w:val="52084B50"/>
    <w:rsid w:val="52847F92"/>
    <w:rsid w:val="55F14746"/>
    <w:rsid w:val="560A4F01"/>
    <w:rsid w:val="57F42729"/>
    <w:rsid w:val="5D302619"/>
    <w:rsid w:val="5FDA3ECD"/>
    <w:rsid w:val="604706AB"/>
    <w:rsid w:val="63D64C2A"/>
    <w:rsid w:val="6822349B"/>
    <w:rsid w:val="68461AA9"/>
    <w:rsid w:val="687B36C0"/>
    <w:rsid w:val="69CD7925"/>
    <w:rsid w:val="6EBC193D"/>
    <w:rsid w:val="71F1718F"/>
    <w:rsid w:val="734F2A90"/>
    <w:rsid w:val="74153CF1"/>
    <w:rsid w:val="7AC9171E"/>
    <w:rsid w:val="7AFC3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2"/>
    <w:next w:val="7"/>
    <w:qFormat/>
    <w:uiPriority w:val="0"/>
    <w:pPr>
      <w:ind w:firstLine="420" w:firstLineChars="100"/>
    </w:pPr>
  </w:style>
  <w:style w:type="paragraph" w:customStyle="1" w:styleId="7">
    <w:name w:val="段落正文"/>
    <w:basedOn w:val="1"/>
    <w:qFormat/>
    <w:uiPriority w:val="0"/>
    <w:pPr>
      <w:spacing w:before="50" w:beforeLines="50" w:line="360" w:lineRule="auto"/>
      <w:ind w:firstLine="200" w:firstLineChars="200"/>
    </w:pPr>
    <w:rPr>
      <w:rFonts w:ascii="Times New Roman" w:hAnsi="Times New Roman"/>
      <w:spacing w:val="2"/>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1970</Words>
  <Characters>2042</Characters>
  <Lines>1</Lines>
  <Paragraphs>1</Paragraphs>
  <TotalTime>19</TotalTime>
  <ScaleCrop>false</ScaleCrop>
  <LinksUpToDate>false</LinksUpToDate>
  <CharactersWithSpaces>2048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zengxue </cp:lastModifiedBy>
  <cp:lastPrinted>2024-06-27T08:13:00Z</cp:lastPrinted>
  <dcterms:modified xsi:type="dcterms:W3CDTF">2024-06-27T08:18:35Z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04213C728A7F416EB6D12724A8E0465F_12</vt:lpwstr>
  </property>
</Properties>
</file>