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采购代理机构年度</w:t>
      </w:r>
      <w:r>
        <w:rPr>
          <w:rFonts w:hint="eastAsia" w:ascii="宋体" w:hAnsi="宋体" w:eastAsia="宋体" w:cs="宋体"/>
          <w:b/>
          <w:kern w:val="0"/>
          <w:sz w:val="32"/>
          <w:szCs w:val="32"/>
        </w:rPr>
        <w:t>考核评价表</w:t>
      </w:r>
    </w:p>
    <w:p>
      <w:pPr>
        <w:jc w:val="center"/>
        <w:rPr>
          <w:rFonts w:hint="eastAsia" w:ascii="仿宋_GB2312" w:eastAsia="仿宋_GB2312"/>
          <w:b/>
          <w:kern w:val="0"/>
          <w:sz w:val="21"/>
          <w:szCs w:val="21"/>
        </w:rPr>
      </w:pPr>
    </w:p>
    <w:p>
      <w:pPr>
        <w:widowControl/>
        <w:kinsoku w:val="0"/>
        <w:autoSpaceDE w:val="0"/>
        <w:autoSpaceDN w:val="0"/>
        <w:adjustRightInd w:val="0"/>
        <w:snapToGrid w:val="0"/>
        <w:spacing w:line="360" w:lineRule="auto"/>
        <w:ind w:firstLine="480" w:firstLineChars="200"/>
        <w:jc w:val="left"/>
        <w:textAlignment w:val="center"/>
        <w:rPr>
          <w:rFonts w:hint="eastAsia" w:ascii="宋体" w:hAnsi="宋体" w:eastAsia="宋体" w:cs="宋体"/>
          <w:snapToGrid w:val="0"/>
          <w:color w:val="auto"/>
          <w:kern w:val="0"/>
          <w:sz w:val="24"/>
          <w:szCs w:val="24"/>
          <w:highlight w:val="none"/>
          <w:lang w:bidi="ar"/>
        </w:rPr>
      </w:pPr>
      <w:r>
        <w:rPr>
          <w:rFonts w:hint="eastAsia" w:ascii="宋体" w:hAnsi="宋体" w:eastAsia="宋体" w:cs="宋体"/>
          <w:snapToGrid w:val="0"/>
          <w:color w:val="auto"/>
          <w:kern w:val="0"/>
          <w:sz w:val="24"/>
          <w:szCs w:val="24"/>
          <w:highlight w:val="none"/>
          <w:lang w:val="zh-CN" w:bidi="ar"/>
        </w:rPr>
        <w:t>年度考核要求：</w:t>
      </w:r>
      <w:r>
        <w:rPr>
          <w:rFonts w:hint="eastAsia" w:ascii="宋体" w:hAnsi="宋体" w:eastAsia="宋体" w:cs="宋体"/>
          <w:snapToGrid w:val="0"/>
          <w:color w:val="auto"/>
          <w:kern w:val="0"/>
          <w:sz w:val="24"/>
          <w:szCs w:val="24"/>
          <w:highlight w:val="none"/>
          <w:lang w:val="zh-CN" w:eastAsia="zh-CN" w:bidi="ar"/>
        </w:rPr>
        <w:t>采购代理机构</w:t>
      </w:r>
      <w:r>
        <w:rPr>
          <w:rFonts w:hint="eastAsia" w:ascii="宋体" w:hAnsi="宋体" w:eastAsia="宋体" w:cs="宋体"/>
          <w:snapToGrid w:val="0"/>
          <w:color w:val="auto"/>
          <w:kern w:val="0"/>
          <w:sz w:val="24"/>
          <w:szCs w:val="24"/>
          <w:highlight w:val="none"/>
          <w:lang w:val="en-US" w:eastAsia="zh-CN" w:bidi="ar"/>
        </w:rPr>
        <w:t>年度考核得分＞90分的，采购人与</w:t>
      </w:r>
      <w:r>
        <w:rPr>
          <w:rFonts w:hint="eastAsia" w:ascii="宋体" w:hAnsi="宋体" w:eastAsia="宋体" w:cs="宋体"/>
          <w:snapToGrid w:val="0"/>
          <w:color w:val="auto"/>
          <w:kern w:val="0"/>
          <w:sz w:val="24"/>
          <w:szCs w:val="24"/>
          <w:highlight w:val="none"/>
          <w:lang w:val="zh-CN" w:eastAsia="zh-CN" w:bidi="ar"/>
        </w:rPr>
        <w:t>采购代理机构</w:t>
      </w:r>
      <w:r>
        <w:rPr>
          <w:rFonts w:hint="eastAsia" w:ascii="宋体" w:hAnsi="宋体" w:eastAsia="宋体" w:cs="宋体"/>
          <w:snapToGrid w:val="0"/>
          <w:color w:val="auto"/>
          <w:kern w:val="0"/>
          <w:sz w:val="24"/>
          <w:szCs w:val="24"/>
          <w:highlight w:val="none"/>
          <w:lang w:val="en-US" w:eastAsia="zh-CN" w:bidi="ar"/>
        </w:rPr>
        <w:t>方可续签下一年度合同；</w:t>
      </w:r>
      <w:r>
        <w:rPr>
          <w:rFonts w:hint="eastAsia" w:ascii="宋体" w:hAnsi="宋体" w:eastAsia="宋体" w:cs="宋体"/>
          <w:snapToGrid w:val="0"/>
          <w:color w:val="auto"/>
          <w:kern w:val="0"/>
          <w:sz w:val="24"/>
          <w:szCs w:val="24"/>
          <w:highlight w:val="none"/>
          <w:lang w:val="zh-CN" w:eastAsia="zh-CN" w:bidi="ar"/>
        </w:rPr>
        <w:t>采购代理机构</w:t>
      </w:r>
      <w:r>
        <w:rPr>
          <w:rFonts w:hint="eastAsia" w:ascii="宋体" w:hAnsi="宋体" w:eastAsia="宋体" w:cs="宋体"/>
          <w:snapToGrid w:val="0"/>
          <w:color w:val="auto"/>
          <w:kern w:val="0"/>
          <w:sz w:val="24"/>
          <w:szCs w:val="24"/>
          <w:highlight w:val="none"/>
          <w:lang w:val="en-US" w:eastAsia="zh-CN" w:bidi="ar"/>
        </w:rPr>
        <w:t>年度考核得分≤90分的或年度考核存在一票否决项的，采购人不予续签下一年度合同。</w:t>
      </w:r>
      <w:bookmarkStart w:id="0" w:name="_GoBack"/>
      <w:bookmarkEnd w:id="0"/>
    </w:p>
    <w:tbl>
      <w:tblPr>
        <w:tblStyle w:val="6"/>
        <w:tblW w:w="9481" w:type="dxa"/>
        <w:jc w:val="center"/>
        <w:tblLayout w:type="fixed"/>
        <w:tblCellMar>
          <w:top w:w="0" w:type="dxa"/>
          <w:left w:w="108" w:type="dxa"/>
          <w:bottom w:w="0" w:type="dxa"/>
          <w:right w:w="108" w:type="dxa"/>
        </w:tblCellMar>
      </w:tblPr>
      <w:tblGrid>
        <w:gridCol w:w="816"/>
        <w:gridCol w:w="816"/>
        <w:gridCol w:w="1027"/>
        <w:gridCol w:w="4282"/>
        <w:gridCol w:w="1724"/>
        <w:gridCol w:w="816"/>
      </w:tblGrid>
      <w:tr>
        <w:tblPrEx>
          <w:tblCellMar>
            <w:top w:w="0" w:type="dxa"/>
            <w:left w:w="108" w:type="dxa"/>
            <w:bottom w:w="0" w:type="dxa"/>
            <w:right w:w="108" w:type="dxa"/>
          </w:tblCellMar>
        </w:tblPrEx>
        <w:trPr>
          <w:trHeight w:val="51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eastAsia="宋体" w:cs="仿宋"/>
                <w:b/>
                <w:bCs/>
                <w:snapToGrid w:val="0"/>
                <w:color w:val="auto"/>
                <w:kern w:val="0"/>
                <w:sz w:val="20"/>
                <w:szCs w:val="20"/>
                <w:highlight w:val="none"/>
                <w:lang w:eastAsia="en-US"/>
              </w:rPr>
            </w:pPr>
            <w:r>
              <w:rPr>
                <w:rFonts w:hint="eastAsia" w:ascii="宋体" w:hAnsi="宋体" w:eastAsia="宋体" w:cs="仿宋"/>
                <w:b/>
                <w:bCs/>
                <w:snapToGrid w:val="0"/>
                <w:color w:val="auto"/>
                <w:kern w:val="0"/>
                <w:sz w:val="20"/>
                <w:szCs w:val="20"/>
                <w:highlight w:val="none"/>
                <w:lang w:bidi="ar"/>
              </w:rPr>
              <w:t>考核要点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eastAsia="宋体" w:cs="仿宋"/>
                <w:b/>
                <w:bCs/>
                <w:snapToGrid w:val="0"/>
                <w:color w:val="auto"/>
                <w:kern w:val="0"/>
                <w:sz w:val="20"/>
                <w:szCs w:val="20"/>
                <w:highlight w:val="none"/>
                <w:lang w:eastAsia="en-US"/>
              </w:rPr>
            </w:pPr>
            <w:r>
              <w:rPr>
                <w:rFonts w:hint="eastAsia" w:ascii="宋体" w:hAnsi="宋体" w:eastAsia="宋体" w:cs="仿宋"/>
                <w:b/>
                <w:bCs/>
                <w:snapToGrid w:val="0"/>
                <w:color w:val="auto"/>
                <w:kern w:val="0"/>
                <w:sz w:val="20"/>
                <w:szCs w:val="20"/>
                <w:highlight w:val="none"/>
                <w:lang w:bidi="ar"/>
              </w:rPr>
              <w:t>分值</w:t>
            </w:r>
          </w:p>
        </w:tc>
        <w:tc>
          <w:tcPr>
            <w:tcW w:w="5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center"/>
              <w:rPr>
                <w:rFonts w:ascii="宋体" w:hAnsi="宋体" w:eastAsia="宋体" w:cs="仿宋"/>
                <w:b/>
                <w:bCs/>
                <w:snapToGrid w:val="0"/>
                <w:color w:val="auto"/>
                <w:kern w:val="0"/>
                <w:sz w:val="20"/>
                <w:szCs w:val="20"/>
                <w:highlight w:val="none"/>
                <w:lang w:eastAsia="en-US"/>
              </w:rPr>
            </w:pPr>
            <w:r>
              <w:rPr>
                <w:rFonts w:hint="eastAsia" w:ascii="宋体" w:hAnsi="宋体" w:eastAsia="宋体" w:cs="仿宋"/>
                <w:b/>
                <w:bCs/>
                <w:snapToGrid w:val="0"/>
                <w:color w:val="auto"/>
                <w:kern w:val="0"/>
                <w:sz w:val="20"/>
                <w:szCs w:val="20"/>
                <w:highlight w:val="none"/>
                <w:lang w:bidi="ar"/>
              </w:rPr>
              <w:t>考核指标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center"/>
              <w:rPr>
                <w:rFonts w:ascii="宋体" w:hAnsi="宋体" w:eastAsia="宋体" w:cs="仿宋"/>
                <w:b/>
                <w:bCs/>
                <w:snapToGrid w:val="0"/>
                <w:color w:val="auto"/>
                <w:kern w:val="0"/>
                <w:sz w:val="20"/>
                <w:szCs w:val="20"/>
                <w:highlight w:val="none"/>
                <w:lang w:eastAsia="en-US"/>
              </w:rPr>
            </w:pPr>
            <w:r>
              <w:rPr>
                <w:rFonts w:hint="eastAsia" w:ascii="宋体" w:hAnsi="宋体" w:eastAsia="宋体" w:cs="仿宋"/>
                <w:b/>
                <w:bCs/>
                <w:snapToGrid w:val="0"/>
                <w:color w:val="auto"/>
                <w:kern w:val="0"/>
                <w:sz w:val="20"/>
                <w:szCs w:val="20"/>
                <w:highlight w:val="none"/>
                <w:lang w:bidi="ar"/>
              </w:rPr>
              <w:t>备注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eastAsia="宋体" w:cs="仿宋"/>
                <w:b/>
                <w:bCs/>
                <w:snapToGrid w:val="0"/>
                <w:color w:val="auto"/>
                <w:kern w:val="0"/>
                <w:sz w:val="20"/>
                <w:szCs w:val="20"/>
                <w:highlight w:val="none"/>
                <w:lang w:eastAsia="en-US"/>
              </w:rPr>
            </w:pPr>
            <w:r>
              <w:rPr>
                <w:rFonts w:hint="eastAsia" w:ascii="宋体" w:hAnsi="宋体" w:eastAsia="宋体" w:cs="仿宋"/>
                <w:b/>
                <w:bCs/>
                <w:snapToGrid w:val="0"/>
                <w:color w:val="auto"/>
                <w:kern w:val="0"/>
                <w:sz w:val="20"/>
                <w:szCs w:val="20"/>
                <w:highlight w:val="none"/>
                <w:lang w:bidi="ar"/>
              </w:rPr>
              <w:t>扣分</w:t>
            </w:r>
          </w:p>
        </w:tc>
      </w:tr>
      <w:tr>
        <w:tblPrEx>
          <w:tblCellMar>
            <w:top w:w="0" w:type="dxa"/>
            <w:left w:w="108" w:type="dxa"/>
            <w:bottom w:w="0" w:type="dxa"/>
            <w:right w:w="108" w:type="dxa"/>
          </w:tblCellMar>
        </w:tblPrEx>
        <w:trPr>
          <w:trHeight w:val="600" w:hRule="atLeast"/>
          <w:jc w:val="center"/>
        </w:trPr>
        <w:tc>
          <w:tcPr>
            <w:tcW w:w="81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1</w:t>
            </w:r>
            <w:r>
              <w:rPr>
                <w:rFonts w:hint="eastAsia" w:ascii="宋体" w:hAnsi="宋体" w:eastAsia="宋体" w:cs="仿宋"/>
                <w:snapToGrid w:val="0"/>
                <w:color w:val="auto"/>
                <w:kern w:val="0"/>
                <w:sz w:val="20"/>
                <w:szCs w:val="20"/>
                <w:highlight w:val="none"/>
                <w:lang w:val="en-US" w:eastAsia="zh-CN" w:bidi="ar"/>
              </w:rPr>
              <w:t>.</w:t>
            </w:r>
            <w:r>
              <w:rPr>
                <w:rFonts w:hint="eastAsia" w:ascii="宋体" w:hAnsi="宋体" w:eastAsia="宋体" w:cs="仿宋"/>
                <w:snapToGrid w:val="0"/>
                <w:color w:val="auto"/>
                <w:kern w:val="0"/>
                <w:sz w:val="20"/>
                <w:szCs w:val="20"/>
                <w:highlight w:val="none"/>
                <w:lang w:bidi="ar"/>
              </w:rPr>
              <w:t>一票否决项</w:t>
            </w:r>
          </w:p>
        </w:tc>
        <w:tc>
          <w:tcPr>
            <w:tcW w:w="81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rPr>
              <w:t>/</w:t>
            </w:r>
          </w:p>
        </w:tc>
        <w:tc>
          <w:tcPr>
            <w:tcW w:w="102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发现任意一项即一票否决，并终止该代理机构与业主方的合同</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擅自修改经招标采购人同意并加盖了公章的招标采购文</w:t>
            </w:r>
            <w:r>
              <w:rPr>
                <w:rFonts w:hint="eastAsia" w:ascii="宋体" w:hAnsi="宋体" w:eastAsia="宋体" w:cs="仿宋"/>
                <w:snapToGrid w:val="0"/>
                <w:color w:val="auto"/>
                <w:kern w:val="0"/>
                <w:sz w:val="18"/>
                <w:szCs w:val="18"/>
                <w:highlight w:val="none"/>
                <w:lang w:bidi="ar"/>
              </w:rPr>
              <w:t>件</w:t>
            </w:r>
          </w:p>
        </w:tc>
        <w:tc>
          <w:tcPr>
            <w:tcW w:w="1724" w:type="dxa"/>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r>
      <w:tr>
        <w:tblPrEx>
          <w:tblCellMar>
            <w:top w:w="0" w:type="dxa"/>
            <w:left w:w="108" w:type="dxa"/>
            <w:bottom w:w="0" w:type="dxa"/>
            <w:right w:w="108" w:type="dxa"/>
          </w:tblCellMar>
        </w:tblPrEx>
        <w:trPr>
          <w:trHeight w:val="585" w:hRule="atLeast"/>
          <w:jc w:val="center"/>
        </w:trPr>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102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泄露应当保密的与招标采购活动有关的情况和资料</w:t>
            </w:r>
          </w:p>
        </w:tc>
        <w:tc>
          <w:tcPr>
            <w:tcW w:w="1724" w:type="dxa"/>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r>
      <w:tr>
        <w:tblPrEx>
          <w:tblCellMar>
            <w:top w:w="0" w:type="dxa"/>
            <w:left w:w="108" w:type="dxa"/>
            <w:bottom w:w="0" w:type="dxa"/>
            <w:right w:w="108" w:type="dxa"/>
          </w:tblCellMar>
        </w:tblPrEx>
        <w:trPr>
          <w:trHeight w:val="585" w:hRule="atLeast"/>
          <w:jc w:val="center"/>
        </w:trPr>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102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损害医院利益或给医院带来严重负面影响。</w:t>
            </w:r>
          </w:p>
        </w:tc>
        <w:tc>
          <w:tcPr>
            <w:tcW w:w="1724" w:type="dxa"/>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r>
      <w:tr>
        <w:tblPrEx>
          <w:tblCellMar>
            <w:top w:w="0" w:type="dxa"/>
            <w:left w:w="108" w:type="dxa"/>
            <w:bottom w:w="0" w:type="dxa"/>
            <w:right w:w="108" w:type="dxa"/>
          </w:tblCellMar>
        </w:tblPrEx>
        <w:trPr>
          <w:trHeight w:val="600" w:hRule="atLeast"/>
          <w:jc w:val="center"/>
        </w:trPr>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102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与医院工作人员、供应商等串通损害医院利益。</w:t>
            </w:r>
          </w:p>
        </w:tc>
        <w:tc>
          <w:tcPr>
            <w:tcW w:w="1724" w:type="dxa"/>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根据查实情况考评</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lang w:eastAsia="en-US"/>
              </w:rPr>
            </w:pPr>
          </w:p>
        </w:tc>
      </w:tr>
      <w:tr>
        <w:tblPrEx>
          <w:tblCellMar>
            <w:top w:w="0" w:type="dxa"/>
            <w:left w:w="108" w:type="dxa"/>
            <w:bottom w:w="0" w:type="dxa"/>
            <w:right w:w="108" w:type="dxa"/>
          </w:tblCellMar>
        </w:tblPrEx>
        <w:trPr>
          <w:trHeight w:val="780" w:hRule="atLeast"/>
          <w:jc w:val="center"/>
        </w:trPr>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lang w:eastAsia="en-US"/>
              </w:rPr>
            </w:pPr>
          </w:p>
        </w:tc>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lang w:eastAsia="en-US"/>
              </w:rPr>
            </w:pPr>
          </w:p>
        </w:tc>
        <w:tc>
          <w:tcPr>
            <w:tcW w:w="102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lang w:eastAsia="en-US"/>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bidi="ar"/>
              </w:rPr>
            </w:pPr>
            <w:r>
              <w:rPr>
                <w:rFonts w:hint="eastAsia" w:ascii="宋体" w:hAnsi="宋体" w:eastAsia="宋体" w:cs="仿宋"/>
                <w:snapToGrid w:val="0"/>
                <w:color w:val="auto"/>
                <w:kern w:val="0"/>
                <w:sz w:val="20"/>
                <w:szCs w:val="20"/>
                <w:highlight w:val="none"/>
                <w:lang w:bidi="ar"/>
              </w:rPr>
              <w:t>未拒收在投标截止时间之后送达的投标文件。</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根据开标现场监督情况考评</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r>
      <w:tr>
        <w:tblPrEx>
          <w:tblCellMar>
            <w:top w:w="0" w:type="dxa"/>
            <w:left w:w="108" w:type="dxa"/>
            <w:bottom w:w="0" w:type="dxa"/>
            <w:right w:w="108" w:type="dxa"/>
          </w:tblCellMar>
        </w:tblPrEx>
        <w:trPr>
          <w:trHeight w:val="795" w:hRule="atLeast"/>
          <w:jc w:val="center"/>
        </w:trPr>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102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bidi="ar"/>
              </w:rPr>
            </w:pPr>
            <w:r>
              <w:rPr>
                <w:rFonts w:ascii="宋体" w:hAnsi="宋体" w:eastAsia="宋体" w:cs="仿宋"/>
                <w:snapToGrid w:val="0"/>
                <w:color w:val="auto"/>
                <w:kern w:val="0"/>
                <w:sz w:val="20"/>
                <w:szCs w:val="20"/>
                <w:highlight w:val="none"/>
                <w:lang w:bidi="ar"/>
              </w:rPr>
              <w:t>干扰评标专家评标、评标过程中发现违法违规行为未及时向招标采购人监督代表/行政主管部门反映</w:t>
            </w:r>
            <w:r>
              <w:rPr>
                <w:rFonts w:hint="eastAsia" w:ascii="宋体" w:hAnsi="宋体" w:eastAsia="宋体" w:cs="仿宋"/>
                <w:snapToGrid w:val="0"/>
                <w:color w:val="auto"/>
                <w:kern w:val="0"/>
                <w:sz w:val="20"/>
                <w:szCs w:val="20"/>
                <w:highlight w:val="none"/>
                <w:lang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根据评标现场情况考评</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r>
      <w:tr>
        <w:tblPrEx>
          <w:tblCellMar>
            <w:top w:w="0" w:type="dxa"/>
            <w:left w:w="108" w:type="dxa"/>
            <w:bottom w:w="0" w:type="dxa"/>
            <w:right w:w="108" w:type="dxa"/>
          </w:tblCellMar>
        </w:tblPrEx>
        <w:trPr>
          <w:trHeight w:val="600"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2</w:t>
            </w:r>
            <w:r>
              <w:rPr>
                <w:rFonts w:hint="eastAsia" w:ascii="宋体" w:hAnsi="宋体" w:eastAsia="宋体" w:cs="仿宋"/>
                <w:snapToGrid w:val="0"/>
                <w:color w:val="auto"/>
                <w:kern w:val="0"/>
                <w:sz w:val="20"/>
                <w:szCs w:val="20"/>
                <w:highlight w:val="none"/>
                <w:lang w:val="en-US" w:eastAsia="zh-CN" w:bidi="ar"/>
              </w:rPr>
              <w:t>.</w:t>
            </w:r>
            <w:r>
              <w:rPr>
                <w:rFonts w:hint="eastAsia" w:ascii="宋体" w:hAnsi="宋体" w:eastAsia="宋体" w:cs="仿宋"/>
                <w:snapToGrid w:val="0"/>
                <w:color w:val="auto"/>
                <w:kern w:val="0"/>
                <w:sz w:val="20"/>
                <w:szCs w:val="20"/>
                <w:highlight w:val="none"/>
                <w:lang w:bidi="ar"/>
              </w:rPr>
              <w:t>代理机构人员配置</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10分</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人员配置（4分）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未配置固定的项目负责人，不得分</w:t>
            </w:r>
          </w:p>
        </w:tc>
        <w:tc>
          <w:tcPr>
            <w:tcW w:w="1724" w:type="dxa"/>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r>
      <w:tr>
        <w:tblPrEx>
          <w:tblCellMar>
            <w:top w:w="0" w:type="dxa"/>
            <w:left w:w="108" w:type="dxa"/>
            <w:bottom w:w="0" w:type="dxa"/>
            <w:right w:w="108" w:type="dxa"/>
          </w:tblCellMar>
        </w:tblPrEx>
        <w:trPr>
          <w:trHeight w:val="78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专业能力（4分）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项目负责人业务能力不足，不能准确把握法规、政策，不能有效提供专业的服务，不得分</w:t>
            </w:r>
          </w:p>
        </w:tc>
        <w:tc>
          <w:tcPr>
            <w:tcW w:w="1724" w:type="dxa"/>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r>
      <w:tr>
        <w:tblPrEx>
          <w:tblCellMar>
            <w:top w:w="0" w:type="dxa"/>
            <w:left w:w="108" w:type="dxa"/>
            <w:bottom w:w="0" w:type="dxa"/>
            <w:right w:w="108" w:type="dxa"/>
          </w:tblCellMar>
        </w:tblPrEx>
        <w:trPr>
          <w:trHeight w:val="81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沟通协调能力（2分）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项目负责人不具备良好的沟通、组织、协调、处置能力，不得分</w:t>
            </w:r>
          </w:p>
        </w:tc>
        <w:tc>
          <w:tcPr>
            <w:tcW w:w="1724" w:type="dxa"/>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r>
      <w:tr>
        <w:tblPrEx>
          <w:tblCellMar>
            <w:top w:w="0" w:type="dxa"/>
            <w:left w:w="108" w:type="dxa"/>
            <w:bottom w:w="0" w:type="dxa"/>
            <w:right w:w="108" w:type="dxa"/>
          </w:tblCellMar>
        </w:tblPrEx>
        <w:trPr>
          <w:trHeight w:val="960"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eastAsia="宋体" w:cs="华文仿宋"/>
                <w:snapToGrid w:val="0"/>
                <w:color w:val="auto"/>
                <w:kern w:val="0"/>
                <w:sz w:val="20"/>
                <w:szCs w:val="20"/>
                <w:highlight w:val="none"/>
                <w:lang w:eastAsia="en-US"/>
              </w:rPr>
            </w:pPr>
            <w:r>
              <w:rPr>
                <w:rFonts w:hint="eastAsia" w:ascii="宋体" w:hAnsi="宋体" w:eastAsia="宋体" w:cs="华文仿宋"/>
                <w:snapToGrid w:val="0"/>
                <w:color w:val="auto"/>
                <w:kern w:val="0"/>
                <w:sz w:val="20"/>
                <w:szCs w:val="20"/>
                <w:highlight w:val="none"/>
                <w:lang w:bidi="ar"/>
              </w:rPr>
              <w:t>3</w:t>
            </w:r>
            <w:r>
              <w:rPr>
                <w:rFonts w:hint="eastAsia" w:ascii="宋体" w:hAnsi="宋体" w:eastAsia="宋体" w:cs="华文仿宋"/>
                <w:snapToGrid w:val="0"/>
                <w:color w:val="auto"/>
                <w:kern w:val="0"/>
                <w:sz w:val="20"/>
                <w:szCs w:val="20"/>
                <w:highlight w:val="none"/>
                <w:lang w:val="en-US" w:eastAsia="zh-CN" w:bidi="ar"/>
              </w:rPr>
              <w:t>.</w:t>
            </w:r>
            <w:r>
              <w:rPr>
                <w:rFonts w:hint="eastAsia" w:ascii="宋体" w:hAnsi="宋体" w:eastAsia="宋体" w:cs="华文仿宋"/>
                <w:snapToGrid w:val="0"/>
                <w:color w:val="auto"/>
                <w:kern w:val="0"/>
                <w:sz w:val="20"/>
                <w:szCs w:val="20"/>
                <w:highlight w:val="none"/>
                <w:lang w:bidi="ar"/>
              </w:rPr>
              <w:t>进口论证</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textAlignment w:val="center"/>
              <w:rPr>
                <w:rFonts w:ascii="宋体" w:hAnsi="宋体" w:eastAsia="宋体" w:cs="华文仿宋"/>
                <w:snapToGrid w:val="0"/>
                <w:color w:val="auto"/>
                <w:kern w:val="0"/>
                <w:sz w:val="20"/>
                <w:szCs w:val="20"/>
                <w:highlight w:val="none"/>
                <w:lang w:eastAsia="en-US"/>
              </w:rPr>
            </w:pPr>
            <w:r>
              <w:rPr>
                <w:rFonts w:hint="eastAsia" w:ascii="宋体" w:hAnsi="宋体" w:eastAsia="宋体" w:cs="华文仿宋"/>
                <w:snapToGrid w:val="0"/>
                <w:color w:val="auto"/>
                <w:kern w:val="0"/>
                <w:sz w:val="20"/>
                <w:szCs w:val="20"/>
                <w:highlight w:val="none"/>
                <w:lang w:bidi="ar"/>
              </w:rPr>
              <w:t>12分</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进口论证专家论证意见完成时间（12分）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进口产品数量30种以上，进口产品专家论证应在5个工作日内完成，每推迟1天，扣2分，扣完为止。</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考核时间以采购经办人通知时间和收到论证结果全套资料（完整的、有专家签字确认的）时间计算</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center"/>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96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华文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华文仿宋"/>
                <w:snapToGrid w:val="0"/>
                <w:color w:val="auto"/>
                <w:kern w:val="0"/>
                <w:sz w:val="20"/>
                <w:szCs w:val="20"/>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进口产品数量10种-30种，进口产品专家论证应在4个工作日内完成，每推迟1天，扣2分，扣完为止。</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center"/>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1053"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华文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华文仿宋"/>
                <w:snapToGrid w:val="0"/>
                <w:color w:val="auto"/>
                <w:kern w:val="0"/>
                <w:sz w:val="20"/>
                <w:szCs w:val="20"/>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进口产品数量10种以下，进口产品专家论证应在3个工作日内完成，每推迟1天，扣2分，扣完为止。</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center"/>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960"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eastAsia="宋体" w:cs="华文仿宋"/>
                <w:snapToGrid w:val="0"/>
                <w:color w:val="auto"/>
                <w:kern w:val="0"/>
                <w:sz w:val="20"/>
                <w:szCs w:val="20"/>
                <w:highlight w:val="none"/>
                <w:lang w:eastAsia="en-US"/>
              </w:rPr>
            </w:pPr>
            <w:r>
              <w:rPr>
                <w:rFonts w:hint="eastAsia" w:ascii="宋体" w:hAnsi="宋体" w:eastAsia="宋体" w:cs="华文仿宋"/>
                <w:snapToGrid w:val="0"/>
                <w:color w:val="auto"/>
                <w:kern w:val="0"/>
                <w:sz w:val="20"/>
                <w:szCs w:val="20"/>
                <w:highlight w:val="none"/>
                <w:lang w:bidi="ar"/>
              </w:rPr>
              <w:t>4</w:t>
            </w:r>
            <w:r>
              <w:rPr>
                <w:rFonts w:hint="eastAsia" w:ascii="宋体" w:hAnsi="宋体" w:eastAsia="宋体" w:cs="华文仿宋"/>
                <w:snapToGrid w:val="0"/>
                <w:color w:val="auto"/>
                <w:kern w:val="0"/>
                <w:sz w:val="20"/>
                <w:szCs w:val="20"/>
                <w:highlight w:val="none"/>
                <w:lang w:val="en-US" w:eastAsia="zh-CN" w:bidi="ar"/>
              </w:rPr>
              <w:t>.</w:t>
            </w:r>
            <w:r>
              <w:rPr>
                <w:rFonts w:hint="eastAsia" w:ascii="宋体" w:hAnsi="宋体" w:eastAsia="宋体" w:cs="华文仿宋"/>
                <w:snapToGrid w:val="0"/>
                <w:color w:val="auto"/>
                <w:kern w:val="0"/>
                <w:sz w:val="20"/>
                <w:szCs w:val="20"/>
                <w:highlight w:val="none"/>
                <w:lang w:bidi="ar"/>
              </w:rPr>
              <w:t>需求论证</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textAlignment w:val="center"/>
              <w:rPr>
                <w:rFonts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bidi="ar"/>
              </w:rPr>
              <w:t>12分</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需求论证（12分）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tcPr>
          <w:p>
            <w:pPr>
              <w:widowControl/>
              <w:kinsoku w:val="0"/>
              <w:autoSpaceDE w:val="0"/>
              <w:autoSpaceDN w:val="0"/>
              <w:adjustRightInd w:val="0"/>
              <w:snapToGrid w:val="0"/>
              <w:textAlignment w:val="top"/>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总预算500万元以上的项目，需求论证应在5个工作日内完成，每推迟1天，扣2分，扣完为止。</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考核时间以采购经办人通知时间和收到论证结果全套资料（完整的、有专家签字确认的）时间计算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1053"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华文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宋体"/>
                <w:snapToGrid w:val="0"/>
                <w:color w:val="auto"/>
                <w:kern w:val="0"/>
                <w:sz w:val="20"/>
                <w:szCs w:val="20"/>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tcPr>
          <w:p>
            <w:pPr>
              <w:widowControl/>
              <w:kinsoku w:val="0"/>
              <w:autoSpaceDE w:val="0"/>
              <w:autoSpaceDN w:val="0"/>
              <w:adjustRightInd w:val="0"/>
              <w:snapToGrid w:val="0"/>
              <w:textAlignment w:val="top"/>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总预算100万元以上，500万元以下的项目，需求论证应在3个工作日内完成，每推迟1天，扣2分，扣完为止。</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textAlignment w:val="baseline"/>
              <w:rPr>
                <w:rFonts w:ascii="宋体" w:hAnsi="宋体" w:eastAsia="宋体" w:cs="仿宋"/>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102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华文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宋体"/>
                <w:snapToGrid w:val="0"/>
                <w:color w:val="auto"/>
                <w:kern w:val="0"/>
                <w:sz w:val="20"/>
                <w:szCs w:val="20"/>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tcPr>
          <w:p>
            <w:pPr>
              <w:widowControl/>
              <w:kinsoku w:val="0"/>
              <w:autoSpaceDE w:val="0"/>
              <w:autoSpaceDN w:val="0"/>
              <w:adjustRightInd w:val="0"/>
              <w:snapToGrid w:val="0"/>
              <w:textAlignment w:val="top"/>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总预算100万元以下的项目，需求论证应在2个工作日内完成，每推迟1天，扣2分，扣完为止。</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textAlignment w:val="baseline"/>
              <w:rPr>
                <w:rFonts w:ascii="宋体" w:hAnsi="宋体" w:eastAsia="宋体" w:cs="仿宋"/>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2689" w:hRule="atLeast"/>
          <w:jc w:val="center"/>
        </w:trPr>
        <w:tc>
          <w:tcPr>
            <w:tcW w:w="81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eastAsia="宋体" w:cs="华文仿宋"/>
                <w:snapToGrid w:val="0"/>
                <w:color w:val="auto"/>
                <w:kern w:val="0"/>
                <w:sz w:val="20"/>
                <w:szCs w:val="20"/>
                <w:highlight w:val="none"/>
                <w:lang w:eastAsia="en-US"/>
              </w:rPr>
            </w:pPr>
            <w:r>
              <w:rPr>
                <w:rFonts w:hint="eastAsia" w:ascii="宋体" w:hAnsi="宋体" w:eastAsia="宋体" w:cs="华文仿宋"/>
                <w:snapToGrid w:val="0"/>
                <w:color w:val="auto"/>
                <w:kern w:val="0"/>
                <w:sz w:val="20"/>
                <w:szCs w:val="20"/>
                <w:highlight w:val="none"/>
                <w:lang w:bidi="ar"/>
              </w:rPr>
              <w:t>5</w:t>
            </w:r>
            <w:r>
              <w:rPr>
                <w:rFonts w:hint="eastAsia" w:ascii="宋体" w:hAnsi="宋体" w:eastAsia="宋体" w:cs="华文仿宋"/>
                <w:snapToGrid w:val="0"/>
                <w:color w:val="auto"/>
                <w:kern w:val="0"/>
                <w:sz w:val="20"/>
                <w:szCs w:val="20"/>
                <w:highlight w:val="none"/>
                <w:lang w:val="en-US" w:eastAsia="zh-CN" w:bidi="ar"/>
              </w:rPr>
              <w:t>.</w:t>
            </w:r>
            <w:r>
              <w:rPr>
                <w:rFonts w:hint="eastAsia" w:ascii="宋体" w:hAnsi="宋体" w:eastAsia="宋体" w:cs="华文仿宋"/>
                <w:snapToGrid w:val="0"/>
                <w:color w:val="auto"/>
                <w:kern w:val="0"/>
                <w:sz w:val="20"/>
                <w:szCs w:val="20"/>
                <w:highlight w:val="none"/>
                <w:lang w:bidi="ar"/>
              </w:rPr>
              <w:t>招标文件制作</w:t>
            </w:r>
          </w:p>
        </w:tc>
        <w:tc>
          <w:tcPr>
            <w:tcW w:w="81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textAlignment w:val="center"/>
              <w:rPr>
                <w:rFonts w:ascii="宋体" w:hAnsi="宋体" w:eastAsia="宋体" w:cs="华文仿宋"/>
                <w:snapToGrid w:val="0"/>
                <w:color w:val="auto"/>
                <w:kern w:val="0"/>
                <w:sz w:val="20"/>
                <w:szCs w:val="20"/>
                <w:highlight w:val="none"/>
                <w:lang w:eastAsia="en-US"/>
              </w:rPr>
            </w:pPr>
            <w:r>
              <w:rPr>
                <w:rFonts w:hint="eastAsia" w:ascii="宋体" w:hAnsi="宋体" w:eastAsia="宋体" w:cs="华文仿宋"/>
                <w:snapToGrid w:val="0"/>
                <w:color w:val="auto"/>
                <w:kern w:val="0"/>
                <w:sz w:val="20"/>
                <w:szCs w:val="20"/>
                <w:highlight w:val="none"/>
                <w:lang w:bidi="ar"/>
              </w:rPr>
              <w:t>2</w:t>
            </w:r>
            <w:r>
              <w:rPr>
                <w:rFonts w:ascii="宋体" w:hAnsi="宋体" w:eastAsia="宋体" w:cs="华文仿宋"/>
                <w:snapToGrid w:val="0"/>
                <w:color w:val="auto"/>
                <w:kern w:val="0"/>
                <w:sz w:val="20"/>
                <w:szCs w:val="20"/>
                <w:highlight w:val="none"/>
                <w:lang w:bidi="ar"/>
              </w:rPr>
              <w:t>6分</w:t>
            </w:r>
          </w:p>
        </w:tc>
        <w:tc>
          <w:tcPr>
            <w:tcW w:w="1027" w:type="dxa"/>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招标文件编制合规性（10分）</w:t>
            </w:r>
          </w:p>
        </w:tc>
        <w:tc>
          <w:tcPr>
            <w:tcW w:w="4282" w:type="dxa"/>
            <w:tcBorders>
              <w:top w:val="single" w:color="000000" w:sz="4" w:space="0"/>
              <w:left w:val="single" w:color="000000" w:sz="4" w:space="0"/>
              <w:bottom w:val="nil"/>
              <w:right w:val="single" w:color="000000" w:sz="4" w:space="0"/>
            </w:tcBorders>
            <w:shd w:val="clear" w:color="auto" w:fill="auto"/>
            <w:vAlign w:val="center"/>
          </w:tcPr>
          <w:p>
            <w:pPr>
              <w:widowControl/>
              <w:spacing w:before="100" w:beforeAutospacing="1" w:after="100" w:afterAutospacing="1"/>
              <w:jc w:val="left"/>
              <w:rPr>
                <w:rFonts w:ascii="宋体" w:hAnsi="宋体" w:eastAsia="宋体" w:cs="Arial"/>
                <w:color w:val="auto"/>
                <w:kern w:val="0"/>
                <w:sz w:val="20"/>
                <w:szCs w:val="20"/>
                <w:highlight w:val="none"/>
              </w:rPr>
            </w:pPr>
            <w:r>
              <w:rPr>
                <w:rFonts w:hint="eastAsia" w:ascii="宋体" w:hAnsi="宋体" w:eastAsia="宋体" w:cs="仿宋"/>
                <w:color w:val="auto"/>
                <w:kern w:val="0"/>
                <w:sz w:val="20"/>
                <w:szCs w:val="20"/>
                <w:highlight w:val="none"/>
                <w:lang w:bidi="ar"/>
              </w:rPr>
              <w:t>未根据招标项目的特点和需要正确推荐招标方式，扣3分；</w:t>
            </w:r>
            <w:r>
              <w:rPr>
                <w:rFonts w:hint="eastAsia" w:ascii="宋体" w:hAnsi="宋体" w:eastAsia="宋体" w:cs="仿宋"/>
                <w:color w:val="auto"/>
                <w:kern w:val="0"/>
                <w:sz w:val="20"/>
                <w:szCs w:val="20"/>
                <w:highlight w:val="none"/>
                <w:lang w:bidi="ar"/>
              </w:rPr>
              <w:br w:type="textWrapping"/>
            </w:r>
            <w:r>
              <w:rPr>
                <w:rFonts w:ascii="宋体" w:hAnsi="宋体" w:eastAsia="宋体" w:cs="仿宋"/>
                <w:color w:val="auto"/>
                <w:kern w:val="0"/>
                <w:sz w:val="20"/>
                <w:szCs w:val="20"/>
                <w:highlight w:val="none"/>
                <w:lang w:bidi="ar"/>
              </w:rPr>
              <w:t>基于代理机构原因，招标文件中出现违反相关法律法规、政策的条款和表述，每处扣4分，扣完为止；</w:t>
            </w:r>
            <w:r>
              <w:rPr>
                <w:rFonts w:hint="eastAsia" w:ascii="宋体" w:hAnsi="宋体" w:eastAsia="宋体" w:cs="仿宋"/>
                <w:color w:val="auto"/>
                <w:kern w:val="0"/>
                <w:sz w:val="20"/>
                <w:szCs w:val="20"/>
                <w:highlight w:val="none"/>
                <w:lang w:bidi="ar"/>
              </w:rPr>
              <w:br w:type="textWrapping"/>
            </w:r>
            <w:r>
              <w:rPr>
                <w:rFonts w:ascii="宋体" w:hAnsi="宋体" w:eastAsia="宋体" w:cs="仿宋"/>
                <w:color w:val="auto"/>
                <w:kern w:val="0"/>
                <w:sz w:val="20"/>
                <w:szCs w:val="20"/>
                <w:highlight w:val="none"/>
                <w:lang w:bidi="ar"/>
              </w:rPr>
              <w:t>基于代理机构原因，招标文件设定不合理的每处扣2分，扣完为止；</w:t>
            </w:r>
            <w:r>
              <w:rPr>
                <w:rFonts w:hint="eastAsia" w:ascii="宋体" w:hAnsi="宋体" w:eastAsia="宋体" w:cs="仿宋"/>
                <w:color w:val="auto"/>
                <w:kern w:val="0"/>
                <w:sz w:val="20"/>
                <w:szCs w:val="20"/>
                <w:highlight w:val="none"/>
                <w:lang w:bidi="ar"/>
              </w:rPr>
              <w:br w:type="textWrapping"/>
            </w:r>
            <w:r>
              <w:rPr>
                <w:rFonts w:ascii="宋体" w:hAnsi="宋体" w:eastAsia="宋体" w:cs="仿宋"/>
                <w:color w:val="auto"/>
                <w:kern w:val="0"/>
                <w:sz w:val="20"/>
                <w:szCs w:val="20"/>
                <w:highlight w:val="none"/>
                <w:lang w:bidi="ar"/>
              </w:rPr>
              <w:t>基于代理机构原因，存在对招标文件内容有实质性影响的错误，每处扣2分，扣完为止。</w:t>
            </w:r>
          </w:p>
        </w:tc>
        <w:tc>
          <w:tcPr>
            <w:tcW w:w="1724" w:type="dxa"/>
            <w:tcBorders>
              <w:top w:val="single" w:color="000000" w:sz="4" w:space="0"/>
              <w:left w:val="single" w:color="000000" w:sz="4" w:space="0"/>
              <w:bottom w:val="single" w:color="000000" w:sz="4" w:space="0"/>
              <w:right w:val="single" w:color="000000" w:sz="4" w:space="0"/>
            </w:tcBorders>
            <w:shd w:val="clear" w:color="auto" w:fill="auto"/>
          </w:tcPr>
          <w:p>
            <w:pPr>
              <w:widowControl/>
              <w:kinsoku w:val="0"/>
              <w:autoSpaceDE w:val="0"/>
              <w:autoSpaceDN w:val="0"/>
              <w:adjustRightInd w:val="0"/>
              <w:snapToGrid w:val="0"/>
              <w:ind w:firstLine="400"/>
              <w:textAlignment w:val="baseline"/>
              <w:rPr>
                <w:rFonts w:ascii="宋体" w:hAnsi="宋体" w:eastAsia="宋体" w:cs="仿宋"/>
                <w:snapToGrid w:val="0"/>
                <w:color w:val="auto"/>
                <w:kern w:val="0"/>
                <w:sz w:val="20"/>
                <w:szCs w:val="20"/>
                <w:highlight w:val="none"/>
              </w:rPr>
            </w:pPr>
          </w:p>
        </w:tc>
        <w:tc>
          <w:tcPr>
            <w:tcW w:w="816" w:type="dxa"/>
            <w:tcBorders>
              <w:top w:val="single" w:color="000000" w:sz="4" w:space="0"/>
              <w:left w:val="nil"/>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1965" w:hRule="atLeast"/>
          <w:jc w:val="center"/>
        </w:trPr>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华文仿宋"/>
                <w:snapToGrid w:val="0"/>
                <w:color w:val="auto"/>
                <w:kern w:val="0"/>
                <w:sz w:val="20"/>
                <w:szCs w:val="20"/>
                <w:highlight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华文仿宋"/>
                <w:snapToGrid w:val="0"/>
                <w:color w:val="auto"/>
                <w:kern w:val="0"/>
                <w:sz w:val="20"/>
                <w:szCs w:val="20"/>
                <w:highlight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招标文件编制准确性（8分）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招标文件存在歧义、重大缺陷导致评审工作无法进行，或者招标文件内容违反国家有关强制性规定的，每处扣</w:t>
            </w:r>
            <w:r>
              <w:rPr>
                <w:rFonts w:ascii="宋体" w:hAnsi="宋体" w:eastAsia="宋体" w:cs="仿宋"/>
                <w:snapToGrid w:val="0"/>
                <w:color w:val="auto"/>
                <w:kern w:val="0"/>
                <w:sz w:val="20"/>
                <w:szCs w:val="20"/>
                <w:highlight w:val="none"/>
                <w:lang w:bidi="ar"/>
              </w:rPr>
              <w:t>2</w:t>
            </w:r>
            <w:r>
              <w:rPr>
                <w:rFonts w:hint="eastAsia" w:ascii="宋体" w:hAnsi="宋体" w:eastAsia="宋体" w:cs="仿宋"/>
                <w:snapToGrid w:val="0"/>
                <w:color w:val="auto"/>
                <w:kern w:val="0"/>
                <w:sz w:val="20"/>
                <w:szCs w:val="20"/>
                <w:highlight w:val="none"/>
                <w:lang w:bidi="ar"/>
              </w:rPr>
              <w:t>分。</w:t>
            </w:r>
            <w:r>
              <w:rPr>
                <w:rFonts w:hint="eastAsia" w:ascii="宋体" w:hAnsi="宋体" w:eastAsia="宋体" w:cs="仿宋"/>
                <w:snapToGrid w:val="0"/>
                <w:color w:val="auto"/>
                <w:kern w:val="0"/>
                <w:sz w:val="20"/>
                <w:szCs w:val="20"/>
                <w:highlight w:val="none"/>
                <w:lang w:bidi="ar"/>
              </w:rPr>
              <w:br w:type="textWrapping"/>
            </w:r>
            <w:r>
              <w:rPr>
                <w:rFonts w:hint="eastAsia" w:ascii="宋体" w:hAnsi="宋体" w:eastAsia="宋体" w:cs="仿宋"/>
                <w:snapToGrid w:val="0"/>
                <w:color w:val="auto"/>
                <w:kern w:val="0"/>
                <w:sz w:val="20"/>
                <w:szCs w:val="20"/>
                <w:highlight w:val="none"/>
                <w:lang w:bidi="ar"/>
              </w:rPr>
              <w:t>招标文件发出、答疑、澄清和修改未及时备案的，扣8分。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tcPr>
          <w:p>
            <w:pPr>
              <w:widowControl/>
              <w:kinsoku w:val="0"/>
              <w:autoSpaceDE w:val="0"/>
              <w:autoSpaceDN w:val="0"/>
              <w:adjustRightInd w:val="0"/>
              <w:snapToGrid w:val="0"/>
              <w:ind w:firstLine="400"/>
              <w:textAlignment w:val="baseline"/>
              <w:rPr>
                <w:rFonts w:ascii="宋体" w:hAnsi="宋体" w:eastAsia="宋体" w:cs="仿宋"/>
                <w:snapToGrid w:val="0"/>
                <w:color w:val="auto"/>
                <w:kern w:val="0"/>
                <w:sz w:val="20"/>
                <w:szCs w:val="20"/>
                <w:highlight w:val="none"/>
              </w:rPr>
            </w:pPr>
          </w:p>
        </w:tc>
        <w:tc>
          <w:tcPr>
            <w:tcW w:w="816" w:type="dxa"/>
            <w:tcBorders>
              <w:top w:val="single" w:color="000000" w:sz="4" w:space="0"/>
              <w:left w:val="nil"/>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1620" w:hRule="atLeast"/>
          <w:jc w:val="center"/>
        </w:trPr>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华文仿宋"/>
                <w:snapToGrid w:val="0"/>
                <w:color w:val="auto"/>
                <w:kern w:val="0"/>
                <w:sz w:val="20"/>
                <w:szCs w:val="20"/>
                <w:highlight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华文仿宋"/>
                <w:snapToGrid w:val="0"/>
                <w:color w:val="auto"/>
                <w:kern w:val="0"/>
                <w:sz w:val="20"/>
                <w:szCs w:val="20"/>
                <w:highlight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招标文件编制时效性（8分）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在收到招标采购人通知后应在3个工作日内制作完成招标文件，每推迟1天递交的扣2分，扣完为止。</w:t>
            </w:r>
            <w:r>
              <w:rPr>
                <w:rFonts w:hint="eastAsia" w:ascii="宋体" w:hAnsi="宋体" w:eastAsia="宋体" w:cs="仿宋"/>
                <w:snapToGrid w:val="0"/>
                <w:color w:val="auto"/>
                <w:kern w:val="0"/>
                <w:sz w:val="20"/>
                <w:szCs w:val="20"/>
                <w:highlight w:val="none"/>
                <w:lang w:bidi="ar"/>
              </w:rPr>
              <w:br w:type="textWrapping"/>
            </w:r>
            <w:r>
              <w:rPr>
                <w:rFonts w:hint="eastAsia" w:ascii="宋体" w:hAnsi="宋体" w:eastAsia="宋体" w:cs="仿宋"/>
                <w:snapToGrid w:val="0"/>
                <w:color w:val="auto"/>
                <w:kern w:val="0"/>
                <w:sz w:val="20"/>
                <w:szCs w:val="20"/>
                <w:highlight w:val="none"/>
                <w:lang w:bidi="ar"/>
              </w:rPr>
              <w:t>招标文件初稿根据招标采购人要求进行修改，在2个工作日内完成终稿，每推迟1天扣2分，扣完为止。</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855"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eastAsia="宋体" w:cs="华文仿宋"/>
                <w:snapToGrid w:val="0"/>
                <w:color w:val="auto"/>
                <w:kern w:val="0"/>
                <w:sz w:val="20"/>
                <w:szCs w:val="20"/>
                <w:highlight w:val="none"/>
              </w:rPr>
            </w:pPr>
            <w:r>
              <w:rPr>
                <w:rFonts w:hint="eastAsia" w:ascii="宋体" w:hAnsi="宋体" w:eastAsia="宋体" w:cs="华文仿宋"/>
                <w:snapToGrid w:val="0"/>
                <w:color w:val="auto"/>
                <w:kern w:val="0"/>
                <w:sz w:val="20"/>
                <w:szCs w:val="20"/>
                <w:highlight w:val="none"/>
                <w:lang w:bidi="ar"/>
              </w:rPr>
              <w:t>6</w:t>
            </w:r>
            <w:r>
              <w:rPr>
                <w:rFonts w:hint="eastAsia" w:ascii="宋体" w:hAnsi="宋体" w:eastAsia="宋体" w:cs="华文仿宋"/>
                <w:snapToGrid w:val="0"/>
                <w:color w:val="auto"/>
                <w:kern w:val="0"/>
                <w:sz w:val="20"/>
                <w:szCs w:val="20"/>
                <w:highlight w:val="none"/>
                <w:lang w:val="en-US" w:eastAsia="zh-CN" w:bidi="ar"/>
              </w:rPr>
              <w:t>.</w:t>
            </w:r>
            <w:r>
              <w:rPr>
                <w:rFonts w:hint="eastAsia" w:ascii="宋体" w:hAnsi="宋体" w:eastAsia="宋体" w:cs="华文仿宋"/>
                <w:snapToGrid w:val="0"/>
                <w:color w:val="auto"/>
                <w:kern w:val="0"/>
                <w:sz w:val="20"/>
                <w:szCs w:val="20"/>
                <w:highlight w:val="none"/>
                <w:lang w:bidi="ar"/>
              </w:rPr>
              <w:t>招标公告、更正公告、结果公告</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textAlignment w:val="center"/>
              <w:rPr>
                <w:rFonts w:ascii="宋体" w:hAnsi="宋体" w:eastAsia="宋体" w:cs="华文仿宋"/>
                <w:snapToGrid w:val="0"/>
                <w:color w:val="auto"/>
                <w:kern w:val="0"/>
                <w:sz w:val="20"/>
                <w:szCs w:val="20"/>
                <w:highlight w:val="none"/>
                <w:lang w:eastAsia="en-US"/>
              </w:rPr>
            </w:pPr>
            <w:r>
              <w:rPr>
                <w:rFonts w:hint="eastAsia" w:ascii="宋体" w:hAnsi="宋体" w:eastAsia="宋体" w:cs="华文仿宋"/>
                <w:snapToGrid w:val="0"/>
                <w:color w:val="auto"/>
                <w:kern w:val="0"/>
                <w:sz w:val="20"/>
                <w:szCs w:val="20"/>
                <w:highlight w:val="none"/>
                <w:lang w:bidi="ar"/>
              </w:rPr>
              <w:t>6分</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公告发布及时性（2分）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在收到招标采购人书面确认函后1个工作日内（不含当天）发布相应的招标信息，每推迟1天扣1分，扣完为止。</w:t>
            </w:r>
          </w:p>
        </w:tc>
        <w:tc>
          <w:tcPr>
            <w:tcW w:w="1724" w:type="dxa"/>
            <w:tcBorders>
              <w:top w:val="single" w:color="000000" w:sz="4" w:space="0"/>
              <w:left w:val="nil"/>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825"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华文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华文仿宋"/>
                <w:snapToGrid w:val="0"/>
                <w:color w:val="auto"/>
                <w:kern w:val="0"/>
                <w:sz w:val="20"/>
                <w:szCs w:val="20"/>
                <w:highlight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bidi="ar"/>
              </w:rPr>
            </w:pPr>
            <w:r>
              <w:rPr>
                <w:rFonts w:hint="eastAsia" w:ascii="宋体" w:hAnsi="宋体" w:eastAsia="宋体" w:cs="仿宋"/>
                <w:snapToGrid w:val="0"/>
                <w:color w:val="auto"/>
                <w:kern w:val="0"/>
                <w:sz w:val="20"/>
                <w:szCs w:val="20"/>
                <w:highlight w:val="none"/>
                <w:lang w:bidi="ar"/>
              </w:rPr>
              <w:t>公告信息准确性</w:t>
            </w:r>
          </w:p>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（4分）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发布的招标公告有错误的（错别字、漏填或前后信息不一致等），未对采购活动造成影响的出现一处扣1分；对采购活动造成影响的出现一处扣2分。</w:t>
            </w:r>
          </w:p>
        </w:tc>
        <w:tc>
          <w:tcPr>
            <w:tcW w:w="1724" w:type="dxa"/>
            <w:tcBorders>
              <w:top w:val="single" w:color="000000" w:sz="4" w:space="0"/>
              <w:left w:val="nil"/>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698"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7</w:t>
            </w:r>
            <w:r>
              <w:rPr>
                <w:rFonts w:hint="eastAsia" w:ascii="宋体" w:hAnsi="宋体" w:eastAsia="宋体" w:cs="仿宋"/>
                <w:snapToGrid w:val="0"/>
                <w:color w:val="auto"/>
                <w:kern w:val="0"/>
                <w:sz w:val="20"/>
                <w:szCs w:val="20"/>
                <w:highlight w:val="none"/>
                <w:lang w:val="en-US" w:eastAsia="zh-CN" w:bidi="ar"/>
              </w:rPr>
              <w:t>.</w:t>
            </w:r>
            <w:r>
              <w:rPr>
                <w:rFonts w:hint="eastAsia" w:ascii="宋体" w:hAnsi="宋体" w:eastAsia="宋体" w:cs="仿宋"/>
                <w:snapToGrid w:val="0"/>
                <w:color w:val="auto"/>
                <w:kern w:val="0"/>
                <w:sz w:val="20"/>
                <w:szCs w:val="20"/>
                <w:highlight w:val="none"/>
                <w:lang w:bidi="ar"/>
              </w:rPr>
              <w:t>投诉和质疑</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11分</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bidi="ar"/>
              </w:rPr>
            </w:pPr>
            <w:r>
              <w:rPr>
                <w:rFonts w:hint="eastAsia" w:ascii="宋体" w:hAnsi="宋体" w:eastAsia="宋体" w:cs="仿宋"/>
                <w:snapToGrid w:val="0"/>
                <w:color w:val="auto"/>
                <w:kern w:val="0"/>
                <w:sz w:val="20"/>
                <w:szCs w:val="20"/>
                <w:highlight w:val="none"/>
                <w:lang w:bidi="ar"/>
              </w:rPr>
              <w:t>质疑/异议</w:t>
            </w:r>
          </w:p>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（5分）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因代理机构自身原因导致供应商质疑/异议成立的，不得分。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698"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bidi="ar"/>
              </w:rPr>
            </w:pPr>
            <w:r>
              <w:rPr>
                <w:rFonts w:hint="eastAsia" w:ascii="宋体" w:hAnsi="宋体" w:eastAsia="宋体" w:cs="仿宋"/>
                <w:snapToGrid w:val="0"/>
                <w:color w:val="auto"/>
                <w:kern w:val="0"/>
                <w:sz w:val="20"/>
                <w:szCs w:val="20"/>
                <w:highlight w:val="none"/>
                <w:lang w:bidi="ar"/>
              </w:rPr>
              <w:t>投诉</w:t>
            </w:r>
          </w:p>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（6分）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因代理机构自身原因导致供应商投诉成立的，不得分。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885"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8</w:t>
            </w:r>
            <w:r>
              <w:rPr>
                <w:rFonts w:hint="eastAsia" w:ascii="宋体" w:hAnsi="宋体" w:eastAsia="宋体" w:cs="仿宋"/>
                <w:snapToGrid w:val="0"/>
                <w:color w:val="auto"/>
                <w:kern w:val="0"/>
                <w:sz w:val="20"/>
                <w:szCs w:val="20"/>
                <w:highlight w:val="none"/>
                <w:lang w:val="en-US" w:eastAsia="zh-CN" w:bidi="ar"/>
              </w:rPr>
              <w:t>.</w:t>
            </w:r>
            <w:r>
              <w:rPr>
                <w:rFonts w:hint="eastAsia" w:ascii="宋体" w:hAnsi="宋体" w:eastAsia="宋体" w:cs="仿宋"/>
                <w:snapToGrid w:val="0"/>
                <w:color w:val="auto"/>
                <w:kern w:val="0"/>
                <w:sz w:val="20"/>
                <w:szCs w:val="20"/>
                <w:highlight w:val="none"/>
                <w:lang w:bidi="ar"/>
              </w:rPr>
              <w:t>采购文件资料</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5分</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bidi="ar"/>
              </w:rPr>
            </w:pPr>
            <w:r>
              <w:rPr>
                <w:rFonts w:hint="eastAsia" w:ascii="宋体" w:hAnsi="宋体" w:eastAsia="宋体" w:cs="仿宋"/>
                <w:snapToGrid w:val="0"/>
                <w:color w:val="auto"/>
                <w:kern w:val="0"/>
                <w:sz w:val="20"/>
                <w:szCs w:val="20"/>
                <w:highlight w:val="none"/>
                <w:lang w:bidi="ar"/>
              </w:rPr>
              <w:t>文件资料的完备</w:t>
            </w:r>
          </w:p>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（3分）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评标结束后，招标文件资料应及时整理归档，资料不齐全的，每缺一项扣1分，扣完为止。</w:t>
            </w:r>
          </w:p>
        </w:tc>
        <w:tc>
          <w:tcPr>
            <w:tcW w:w="1724" w:type="dxa"/>
            <w:tcBorders>
              <w:top w:val="single" w:color="000000" w:sz="4" w:space="0"/>
              <w:left w:val="nil"/>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878"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1027" w:type="dxa"/>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文件资料移交及时性（2分）</w:t>
            </w:r>
          </w:p>
        </w:tc>
        <w:tc>
          <w:tcPr>
            <w:tcW w:w="4282" w:type="dxa"/>
            <w:tcBorders>
              <w:top w:val="single" w:color="000000" w:sz="4" w:space="0"/>
              <w:left w:val="single" w:color="000000" w:sz="4" w:space="0"/>
              <w:bottom w:val="nil"/>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中标通知书发出的前提下，在取得招标采购人的采购合同后五个工作日内以备案文件的形式向招标采购人移交全部文件资料，移交不及时的，每推迟1天扣1分，扣完为止。</w:t>
            </w:r>
          </w:p>
        </w:tc>
        <w:tc>
          <w:tcPr>
            <w:tcW w:w="1724" w:type="dxa"/>
            <w:tcBorders>
              <w:top w:val="single" w:color="000000" w:sz="4" w:space="0"/>
              <w:left w:val="nil"/>
              <w:bottom w:val="nil"/>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630"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9</w:t>
            </w:r>
            <w:r>
              <w:rPr>
                <w:rFonts w:hint="eastAsia" w:ascii="宋体" w:hAnsi="宋体" w:eastAsia="宋体" w:cs="仿宋"/>
                <w:snapToGrid w:val="0"/>
                <w:color w:val="auto"/>
                <w:kern w:val="0"/>
                <w:sz w:val="20"/>
                <w:szCs w:val="20"/>
                <w:highlight w:val="none"/>
                <w:lang w:val="en-US" w:eastAsia="zh-CN" w:bidi="ar"/>
              </w:rPr>
              <w:t>.</w:t>
            </w:r>
            <w:r>
              <w:rPr>
                <w:rFonts w:hint="eastAsia" w:ascii="宋体" w:hAnsi="宋体" w:eastAsia="宋体" w:cs="仿宋"/>
                <w:snapToGrid w:val="0"/>
                <w:color w:val="auto"/>
                <w:kern w:val="0"/>
                <w:sz w:val="20"/>
                <w:szCs w:val="20"/>
                <w:highlight w:val="none"/>
                <w:lang w:bidi="ar"/>
              </w:rPr>
              <w:t>开标评标</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10分</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开标评标情况（10分）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开标现场秩序未实现井然有序的，扣2分。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c>
          <w:tcPr>
            <w:tcW w:w="816" w:type="dxa"/>
            <w:tcBorders>
              <w:top w:val="nil"/>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63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ascii="宋体" w:hAnsi="宋体" w:eastAsia="宋体" w:cs="仿宋"/>
                <w:snapToGrid w:val="0"/>
                <w:color w:val="auto"/>
                <w:kern w:val="0"/>
                <w:sz w:val="20"/>
                <w:szCs w:val="20"/>
                <w:highlight w:val="none"/>
                <w:lang w:bidi="ar"/>
              </w:rPr>
              <w:t>代理机构未依法依规收取评审成员手机的，扣2分</w:t>
            </w:r>
            <w:r>
              <w:rPr>
                <w:rFonts w:hint="eastAsia" w:ascii="宋体" w:hAnsi="宋体" w:eastAsia="宋体" w:cs="仿宋"/>
                <w:snapToGrid w:val="0"/>
                <w:color w:val="auto"/>
                <w:kern w:val="0"/>
                <w:sz w:val="20"/>
                <w:szCs w:val="20"/>
                <w:highlight w:val="none"/>
                <w:lang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c>
          <w:tcPr>
            <w:tcW w:w="816" w:type="dxa"/>
            <w:tcBorders>
              <w:top w:val="nil"/>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63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任何与评标项目无关人员随意进出评标室的，扣2分。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c>
          <w:tcPr>
            <w:tcW w:w="816" w:type="dxa"/>
            <w:tcBorders>
              <w:top w:val="nil"/>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615"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center"/>
              <w:textAlignment w:val="baseline"/>
              <w:rPr>
                <w:rFonts w:ascii="宋体" w:hAnsi="宋体" w:eastAsia="宋体" w:cs="仿宋"/>
                <w:snapToGrid w:val="0"/>
                <w:color w:val="auto"/>
                <w:kern w:val="0"/>
                <w:sz w:val="20"/>
                <w:szCs w:val="20"/>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评标过程中有干扰评标专家行为的，扣10分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c>
          <w:tcPr>
            <w:tcW w:w="816" w:type="dxa"/>
            <w:tcBorders>
              <w:top w:val="nil"/>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145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10</w:t>
            </w:r>
            <w:r>
              <w:rPr>
                <w:rFonts w:hint="eastAsia" w:ascii="宋体" w:hAnsi="宋体" w:eastAsia="宋体" w:cs="仿宋"/>
                <w:snapToGrid w:val="0"/>
                <w:color w:val="auto"/>
                <w:kern w:val="0"/>
                <w:sz w:val="20"/>
                <w:szCs w:val="20"/>
                <w:highlight w:val="none"/>
                <w:lang w:val="en-US" w:eastAsia="zh-CN" w:bidi="ar"/>
              </w:rPr>
              <w:t>.</w:t>
            </w:r>
            <w:r>
              <w:rPr>
                <w:rFonts w:hint="eastAsia" w:ascii="宋体" w:hAnsi="宋体" w:eastAsia="宋体" w:cs="仿宋"/>
                <w:snapToGrid w:val="0"/>
                <w:color w:val="auto"/>
                <w:kern w:val="0"/>
                <w:sz w:val="20"/>
                <w:szCs w:val="20"/>
                <w:highlight w:val="none"/>
                <w:lang w:bidi="ar"/>
              </w:rPr>
              <w:t>流标废标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8分</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流标、废标情况（8分）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left"/>
              <w:textAlignment w:val="center"/>
              <w:rPr>
                <w:rFonts w:ascii="宋体" w:hAnsi="宋体" w:eastAsia="宋体" w:cs="仿宋"/>
                <w:snapToGrid w:val="0"/>
                <w:color w:val="auto"/>
                <w:kern w:val="0"/>
                <w:sz w:val="20"/>
                <w:szCs w:val="20"/>
                <w:highlight w:val="none"/>
              </w:rPr>
            </w:pPr>
            <w:r>
              <w:rPr>
                <w:rFonts w:hint="eastAsia" w:ascii="宋体" w:hAnsi="宋体" w:eastAsia="宋体" w:cs="仿宋"/>
                <w:snapToGrid w:val="0"/>
                <w:color w:val="auto"/>
                <w:kern w:val="0"/>
                <w:sz w:val="20"/>
                <w:szCs w:val="20"/>
                <w:highlight w:val="none"/>
                <w:lang w:bidi="ar"/>
              </w:rPr>
              <w:t>若因前期准备、招标文件不规范、开标程序不合规范等代理机构自身原因造成了流标、废标的，不得分。（投标人标书制作、应标有误等原因造成流标、废标的除外）</w:t>
            </w:r>
          </w:p>
        </w:tc>
        <w:tc>
          <w:tcPr>
            <w:tcW w:w="1724" w:type="dxa"/>
            <w:tcBorders>
              <w:top w:val="single" w:color="000000" w:sz="4" w:space="0"/>
              <w:left w:val="single" w:color="000000" w:sz="4" w:space="0"/>
              <w:bottom w:val="single" w:color="000000" w:sz="4" w:space="0"/>
              <w:right w:val="single" w:color="000000" w:sz="4" w:space="0"/>
            </w:tcBorders>
            <w:shd w:val="clear" w:color="auto" w:fill="auto"/>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ind w:firstLine="400"/>
              <w:jc w:val="left"/>
              <w:textAlignment w:val="baseline"/>
              <w:rPr>
                <w:rFonts w:ascii="宋体" w:hAnsi="宋体" w:eastAsia="宋体" w:cs="宋体"/>
                <w:snapToGrid w:val="0"/>
                <w:color w:val="auto"/>
                <w:kern w:val="0"/>
                <w:sz w:val="20"/>
                <w:szCs w:val="20"/>
                <w:highlight w:val="none"/>
              </w:rPr>
            </w:pPr>
          </w:p>
        </w:tc>
      </w:tr>
      <w:tr>
        <w:tblPrEx>
          <w:tblCellMar>
            <w:top w:w="0" w:type="dxa"/>
            <w:left w:w="108" w:type="dxa"/>
            <w:bottom w:w="0" w:type="dxa"/>
            <w:right w:w="108" w:type="dxa"/>
          </w:tblCellMar>
        </w:tblPrEx>
        <w:trPr>
          <w:trHeight w:val="660" w:hRule="atLeast"/>
          <w:jc w:val="center"/>
        </w:trPr>
        <w:tc>
          <w:tcPr>
            <w:tcW w:w="8665" w:type="dxa"/>
            <w:gridSpan w:val="5"/>
            <w:tcBorders>
              <w:top w:val="single" w:color="000000" w:sz="4" w:space="0"/>
              <w:left w:val="single" w:color="000000" w:sz="4" w:space="0"/>
              <w:bottom w:val="single" w:color="000000" w:sz="4" w:space="0"/>
              <w:right w:val="nil"/>
            </w:tcBorders>
            <w:shd w:val="clear" w:color="auto" w:fill="auto"/>
            <w:vAlign w:val="center"/>
          </w:tcPr>
          <w:p>
            <w:pPr>
              <w:widowControl/>
              <w:kinsoku w:val="0"/>
              <w:autoSpaceDE w:val="0"/>
              <w:autoSpaceDN w:val="0"/>
              <w:adjustRightInd w:val="0"/>
              <w:snapToGrid w:val="0"/>
              <w:ind w:firstLine="400"/>
              <w:jc w:val="center"/>
              <w:textAlignment w:val="center"/>
              <w:rPr>
                <w:rFonts w:ascii="宋体" w:hAnsi="宋体" w:eastAsia="宋体" w:cs="仿宋"/>
                <w:snapToGrid w:val="0"/>
                <w:color w:val="auto"/>
                <w:kern w:val="0"/>
                <w:sz w:val="20"/>
                <w:szCs w:val="20"/>
                <w:highlight w:val="none"/>
                <w:lang w:eastAsia="en-US"/>
              </w:rPr>
            </w:pPr>
            <w:r>
              <w:rPr>
                <w:rFonts w:hint="eastAsia" w:ascii="宋体" w:hAnsi="宋体" w:eastAsia="宋体" w:cs="仿宋"/>
                <w:snapToGrid w:val="0"/>
                <w:color w:val="auto"/>
                <w:kern w:val="0"/>
                <w:sz w:val="20"/>
                <w:szCs w:val="20"/>
                <w:highlight w:val="none"/>
                <w:lang w:bidi="ar"/>
              </w:rPr>
              <w:t>总分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ind w:firstLine="400"/>
              <w:jc w:val="left"/>
              <w:textAlignment w:val="baseline"/>
              <w:rPr>
                <w:rFonts w:ascii="宋体" w:hAnsi="宋体" w:eastAsia="宋体" w:cs="仿宋"/>
                <w:snapToGrid w:val="0"/>
                <w:color w:val="auto"/>
                <w:kern w:val="0"/>
                <w:sz w:val="20"/>
                <w:szCs w:val="20"/>
                <w:highlight w:val="none"/>
                <w:lang w:eastAsia="en-US"/>
              </w:rPr>
            </w:pPr>
          </w:p>
        </w:tc>
      </w:tr>
    </w:tbl>
    <w:p>
      <w:pPr>
        <w:pStyle w:val="3"/>
        <w:spacing w:before="0" w:after="0" w:line="240" w:lineRule="auto"/>
        <w:rPr>
          <w:rFonts w:hint="eastAsia" w:ascii="仿宋" w:hAnsi="仿宋" w:eastAsia="仿宋" w:cs="黑体"/>
          <w:bCs w:val="0"/>
          <w:color w:val="000000"/>
          <w:kern w:val="0"/>
          <w:sz w:val="21"/>
          <w:szCs w:val="21"/>
          <w:lang w:val="zh-CN"/>
        </w:rPr>
      </w:pPr>
    </w:p>
    <w:p>
      <w:pPr>
        <w:pStyle w:val="3"/>
        <w:spacing w:before="0" w:after="0" w:line="240" w:lineRule="auto"/>
        <w:rPr>
          <w:rFonts w:hint="eastAsia" w:ascii="仿宋" w:hAnsi="仿宋" w:eastAsia="仿宋" w:cs="黑体"/>
          <w:b w:val="0"/>
          <w:bCs w:val="0"/>
          <w:color w:val="000000"/>
          <w:kern w:val="0"/>
          <w:sz w:val="21"/>
          <w:szCs w:val="21"/>
          <w:lang w:val="zh-CN" w:eastAsia="zh-CN"/>
        </w:rPr>
      </w:pPr>
      <w:r>
        <w:rPr>
          <w:rFonts w:hint="eastAsia" w:ascii="仿宋" w:hAnsi="仿宋" w:eastAsia="仿宋" w:cs="黑体"/>
          <w:bCs w:val="0"/>
          <w:color w:val="000000"/>
          <w:kern w:val="0"/>
          <w:sz w:val="21"/>
          <w:szCs w:val="21"/>
          <w:lang w:val="zh-CN"/>
        </w:rPr>
        <w:t>备注：</w:t>
      </w:r>
    </w:p>
    <w:p>
      <w:pPr>
        <w:numPr>
          <w:ilvl w:val="0"/>
          <w:numId w:val="1"/>
        </w:numPr>
        <w:spacing w:line="240" w:lineRule="auto"/>
        <w:ind w:left="0" w:firstLine="0"/>
        <w:rPr>
          <w:rFonts w:hint="eastAsia" w:ascii="宋体" w:hAnsi="宋体" w:eastAsia="宋体" w:cs="宋体"/>
          <w:sz w:val="24"/>
          <w:szCs w:val="32"/>
          <w:lang w:val="zh-CN"/>
        </w:rPr>
      </w:pPr>
      <w:r>
        <w:rPr>
          <w:rFonts w:hint="eastAsia" w:ascii="宋体" w:hAnsi="宋体" w:eastAsia="宋体" w:cs="宋体"/>
          <w:sz w:val="24"/>
          <w:szCs w:val="32"/>
          <w:lang w:val="zh-CN"/>
        </w:rPr>
        <w:t>参与对乙方考核的人员为：各招标项目的医院经办人、开标时的采购人代表、监督代表等。</w:t>
      </w:r>
    </w:p>
    <w:p>
      <w:pPr>
        <w:numPr>
          <w:ilvl w:val="0"/>
          <w:numId w:val="1"/>
        </w:numPr>
        <w:spacing w:line="240" w:lineRule="auto"/>
        <w:ind w:left="0" w:firstLine="0"/>
        <w:rPr>
          <w:rFonts w:hint="eastAsia" w:ascii="宋体" w:hAnsi="宋体" w:eastAsia="宋体" w:cs="宋体"/>
          <w:sz w:val="24"/>
          <w:szCs w:val="32"/>
          <w:lang w:val="zh-CN"/>
        </w:rPr>
      </w:pPr>
      <w:r>
        <w:rPr>
          <w:rFonts w:hint="eastAsia" w:ascii="宋体" w:hAnsi="宋体" w:eastAsia="宋体" w:cs="宋体"/>
          <w:sz w:val="24"/>
          <w:szCs w:val="32"/>
          <w:lang w:val="zh-CN"/>
        </w:rPr>
        <w:t>甲方通知</w:t>
      </w:r>
      <w:r>
        <w:rPr>
          <w:rFonts w:hint="eastAsia" w:ascii="宋体" w:hAnsi="宋体" w:eastAsia="宋体" w:cs="宋体"/>
          <w:sz w:val="24"/>
          <w:szCs w:val="32"/>
          <w:lang w:val="zh-CN" w:eastAsia="zh-CN"/>
        </w:rPr>
        <w:t>考核结果：采用</w:t>
      </w:r>
      <w:r>
        <w:rPr>
          <w:rFonts w:hint="eastAsia" w:ascii="宋体" w:hAnsi="宋体" w:eastAsia="宋体" w:cs="宋体"/>
          <w:sz w:val="24"/>
          <w:szCs w:val="32"/>
          <w:lang w:val="en-US" w:eastAsia="zh-CN"/>
        </w:rPr>
        <w:t>QQ邮箱</w:t>
      </w:r>
      <w:r>
        <w:rPr>
          <w:rFonts w:hint="eastAsia" w:ascii="宋体" w:hAnsi="宋体" w:eastAsia="宋体" w:cs="宋体"/>
          <w:sz w:val="24"/>
          <w:szCs w:val="32"/>
          <w:lang w:val="zh-CN"/>
        </w:rPr>
        <w:t>的方式将考核结果通知乙方。</w:t>
      </w:r>
    </w:p>
    <w:p>
      <w:pPr>
        <w:jc w:val="center"/>
        <w:rPr>
          <w:rFonts w:hint="eastAsia" w:ascii="仿宋_GB2312" w:eastAsia="仿宋_GB2312"/>
          <w:b/>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17DE3"/>
    <w:multiLevelType w:val="multilevel"/>
    <w:tmpl w:val="64817DE3"/>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5A8E3F41"/>
    <w:rsid w:val="008C3A2A"/>
    <w:rsid w:val="1DD53B60"/>
    <w:rsid w:val="23955C4A"/>
    <w:rsid w:val="26F6220F"/>
    <w:rsid w:val="2BEF2E93"/>
    <w:rsid w:val="340B6918"/>
    <w:rsid w:val="370E1424"/>
    <w:rsid w:val="3A604E9C"/>
    <w:rsid w:val="425F4786"/>
    <w:rsid w:val="48655EF1"/>
    <w:rsid w:val="591C63A5"/>
    <w:rsid w:val="5A8E3F41"/>
    <w:rsid w:val="62B35552"/>
    <w:rsid w:val="65B77C12"/>
    <w:rsid w:val="75A930CC"/>
    <w:rsid w:val="7C48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asciiTheme="minorAscii" w:hAnsiTheme="minorAscii"/>
      <w:b/>
      <w:kern w:val="44"/>
      <w:sz w:val="32"/>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1837</Words>
  <Characters>1875</Characters>
  <Lines>0</Lines>
  <Paragraphs>0</Paragraphs>
  <TotalTime>1</TotalTime>
  <ScaleCrop>false</ScaleCrop>
  <LinksUpToDate>false</LinksUpToDate>
  <CharactersWithSpaces>1875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2024-06-27T06:29:00Z</dcterms:created>
  <dc:creator>40448</dc:creator>
  <cp:lastModifiedBy>zengxue </cp:lastModifiedBy>
  <cp:lastPrinted>2024-07-03T07:50:00Z</cp:lastPrinted>
  <dcterms:modified xsi:type="dcterms:W3CDTF">2024-07-09T00:50:33Z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7C11EE4FBF924D09B2608284B8ACA208_11</vt:lpwstr>
  </property>
</Properties>
</file>