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大邑县人民医院</w:t>
      </w:r>
    </w:p>
    <w:p>
      <w:pPr>
        <w:pStyle w:val="5"/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远程影像云平台维护服务项目比选要求及评分标准</w:t>
      </w:r>
    </w:p>
    <w:p>
      <w:pPr>
        <w:pStyle w:val="4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一、商务要求</w:t>
      </w:r>
    </w:p>
    <w:p>
      <w:pPr>
        <w:spacing w:before="156" w:beforeLines="50" w:after="156" w:afterLines="50" w:line="560" w:lineRule="exact"/>
        <w:outlineLvl w:val="1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（一）履约期限：自合同签订之日起1年。</w:t>
      </w:r>
    </w:p>
    <w:p>
      <w:pPr>
        <w:spacing w:line="560" w:lineRule="exact"/>
        <w:outlineLvl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（二）服务地点：大邑县人民医院指定地点。</w:t>
      </w:r>
    </w:p>
    <w:p>
      <w:pPr>
        <w:pStyle w:val="4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二、维护服务要求</w:t>
      </w:r>
    </w:p>
    <w:tbl>
      <w:tblPr>
        <w:tblStyle w:val="10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2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682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招标要求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投标响应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6828" w:type="dxa"/>
            <w:vAlign w:val="center"/>
          </w:tcPr>
          <w:p>
            <w:pPr>
              <w:spacing w:line="560" w:lineRule="exact"/>
              <w:ind w:left="105" w:right="105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基本系统维护要求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ind w:right="105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1.1</w:t>
            </w:r>
          </w:p>
        </w:tc>
        <w:tc>
          <w:tcPr>
            <w:tcW w:w="6828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支持对接CT，MR，DR，RF，US等符合DICOM通讯影像设备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1.2</w:t>
            </w:r>
          </w:p>
        </w:tc>
        <w:tc>
          <w:tcPr>
            <w:tcW w:w="6828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DICOM Storage确保影像传输的正确性和完整性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1.3</w:t>
            </w:r>
          </w:p>
        </w:tc>
        <w:tc>
          <w:tcPr>
            <w:tcW w:w="6828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 DICOM 传送与接收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1.4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支持系统对于影像/存储/数据库/备份服务器监控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1.5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支持多层存储与管理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接口要求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2.1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提供第三方影像调阅接口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2.2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对接不限于二维码浏览、短信链接、微信公众号等多种入口方式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2.3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远程诊断报告信息返回医院PACS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高级影像后处理软件维护要求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3.1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修复MPR功能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3.2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修复3D重建功能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3.3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修复3D切割功能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3.4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保障影像处理功能的流畅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远程诊断平台维护要求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4.1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保障远程诊断报告功能正常使用，全年正常运行时间不低于98%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4.2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可修正患者信息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4.3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可查询报告修改历史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4.4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可调阅历史影像作对照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4.5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报告模板维护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4.6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医生诊断、审核、修订权限调整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4.7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医生用户增、删、配置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4.8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远程服务关系设置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</w:tbl>
    <w:p>
      <w:pPr>
        <w:pStyle w:val="9"/>
        <w:widowControl/>
        <w:spacing w:line="560" w:lineRule="exact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★商务要求（此部分不参与评分）</w:t>
      </w:r>
    </w:p>
    <w:p>
      <w:pPr>
        <w:pStyle w:val="9"/>
        <w:widowControl/>
        <w:spacing w:line="56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中标人在维保合同期间，应该遵守医院信息安全规章制度，对医院的数据严格保密，若因中标人行为造成医院数据泄密或财产损失，中标人应承担相应责任。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注：采购需求中标注“★”号的条款为本次采购项目的实质性要求，供应商应全部满足。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三、评分标准</w:t>
      </w:r>
    </w:p>
    <w:p>
      <w:pPr>
        <w:pStyle w:val="5"/>
        <w:spacing w:line="560" w:lineRule="exact"/>
        <w:jc w:val="center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综合评分明细表</w:t>
      </w:r>
    </w:p>
    <w:tbl>
      <w:tblPr>
        <w:tblStyle w:val="10"/>
        <w:tblW w:w="8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55"/>
        <w:gridCol w:w="815"/>
        <w:gridCol w:w="4659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评分因素及权重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分值</w:t>
            </w:r>
          </w:p>
        </w:tc>
        <w:tc>
          <w:tcPr>
            <w:tcW w:w="4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评分标准</w:t>
            </w:r>
          </w:p>
        </w:tc>
        <w:tc>
          <w:tcPr>
            <w:tcW w:w="1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报价（20%）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20分</w:t>
            </w:r>
          </w:p>
        </w:tc>
        <w:tc>
          <w:tcPr>
            <w:tcW w:w="4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满足招标文件要求且投标价格最低的评标价为评标基准价，其价格分为满分。其他投标人的价格分统一按照下列公式计算：投标报价得分=(评标基准价／投标报价)×权重（20%）×100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技术指标和功能要求（20%）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20分</w:t>
            </w:r>
          </w:p>
        </w:tc>
        <w:tc>
          <w:tcPr>
            <w:tcW w:w="4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技术指标和配置完全符合招标文件要求没有负偏离得20分；与招标文件要求有非实质性负偏离的，一项扣1分，扣完为止。</w:t>
            </w:r>
          </w:p>
        </w:tc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维保服务方案（30%）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30分</w:t>
            </w:r>
          </w:p>
        </w:tc>
        <w:tc>
          <w:tcPr>
            <w:tcW w:w="4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投标人应针对招标文件中的服务标准与服务要求提供维保服务方案，维保服务方案应包含但不限于：1、维保响应方案；2、使用培训方案；3、维保服务措施；4、维保人员安排。维保服务方案内容完整且符合需求的得30分，每提供一项得7.5分，每有一处内容存在瑕疵扣2.5分，每一项最多扣7.5分。扣完为止。 （注：根据投标文件进行评审。说明：瑕疵是指方案中存在①内容有明显错误，前后内容无法连贯或互相矛盾②非专门针对本项目编制、内容脱离了实际情况不具备实施的可能性③简单套用其他项目方案④引用科学原理错误⑤内容不符合相关规范要求⑥存在与本项目无关的内容⑦内容简略或简单复制本项目采购需求等。）</w:t>
            </w:r>
          </w:p>
        </w:tc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相关证书（15%）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15分</w:t>
            </w:r>
          </w:p>
        </w:tc>
        <w:tc>
          <w:tcPr>
            <w:tcW w:w="4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投标人维护团队人员具有正高级工程师认证的得5分，副高级工程师认证的得3分，中级工程师认证的得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>注：投标文件中提供有效证明资料复印件及最近6个月社保证明并加盖公章。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（2）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投标人具备云医疗软件同类产品厂商的经营或维护授权，具备得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5分；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生产商投标的直接得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5分。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（3）投标人具备信息系统安全等级保护备案证明，三级及以上得5分，其余得1分，没有不得分；注：投标文件中提供有效证明资料复印件加盖公章。</w:t>
            </w:r>
          </w:p>
        </w:tc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业绩15%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15分</w:t>
            </w:r>
          </w:p>
        </w:tc>
        <w:tc>
          <w:tcPr>
            <w:tcW w:w="4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（4）投标人有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三甲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医院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Hans"/>
              </w:rPr>
              <w:t>以上项目的建设或维护案例，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每提供一个案例5分，最多15分。</w:t>
            </w:r>
          </w:p>
        </w:tc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提供证明资料复印件并加盖投标人鲜章</w:t>
            </w:r>
          </w:p>
        </w:tc>
      </w:tr>
    </w:tbl>
    <w:p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00321054"/>
    <w:rsid w:val="000835E3"/>
    <w:rsid w:val="00321054"/>
    <w:rsid w:val="006803FE"/>
    <w:rsid w:val="006F54B8"/>
    <w:rsid w:val="00723574"/>
    <w:rsid w:val="007D0A91"/>
    <w:rsid w:val="00A47992"/>
    <w:rsid w:val="00C40433"/>
    <w:rsid w:val="00C44078"/>
    <w:rsid w:val="00C51257"/>
    <w:rsid w:val="00E11FF1"/>
    <w:rsid w:val="05497C02"/>
    <w:rsid w:val="39E00E61"/>
    <w:rsid w:val="7AB25045"/>
    <w:rsid w:val="7C7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420" w:firstLineChars="200"/>
      <w:outlineLvl w:val="0"/>
    </w:pPr>
    <w:rPr>
      <w:color w:val="00000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7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1"/>
    <w:link w:val="8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11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1272</Words>
  <Characters>1373</Characters>
  <Lines>10</Lines>
  <Paragraphs>3</Paragraphs>
  <TotalTime>1</TotalTime>
  <ScaleCrop>false</ScaleCrop>
  <LinksUpToDate>false</LinksUpToDate>
  <CharactersWithSpaces>1377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2024-08-19T05:56:00Z</dcterms:created>
  <dc:creator>HP</dc:creator>
  <cp:lastModifiedBy>de'l'l</cp:lastModifiedBy>
  <dcterms:modified xsi:type="dcterms:W3CDTF">2024-08-21T13:20:48Z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CF36874168B8499687CBEA91B1F4513B_12</vt:lpwstr>
  </property>
</Properties>
</file>