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val="0"/>
        <w:snapToGrid w:val="0"/>
        <w:spacing w:before="0" w:after="0" w:line="240" w:lineRule="auto"/>
        <w:jc w:val="center"/>
        <w:rPr>
          <w:rFonts w:hint="eastAsia"/>
          <w:sz w:val="32"/>
          <w:szCs w:val="32"/>
          <w:lang w:val="en-US" w:eastAsia="zh-CN"/>
        </w:rPr>
      </w:pPr>
      <w:r>
        <w:rPr>
          <w:rFonts w:hint="eastAsia"/>
          <w:sz w:val="32"/>
          <w:szCs w:val="32"/>
          <w:lang w:val="en-US" w:eastAsia="zh-CN"/>
        </w:rPr>
        <w:t>大邑县人民医院</w:t>
      </w:r>
    </w:p>
    <w:p>
      <w:pPr>
        <w:pStyle w:val="3"/>
        <w:widowControl/>
        <w:adjustRightInd w:val="0"/>
        <w:snapToGrid w:val="0"/>
        <w:spacing w:before="0" w:after="0" w:line="240" w:lineRule="auto"/>
        <w:jc w:val="center"/>
        <w:rPr>
          <w:rFonts w:hint="eastAsia"/>
          <w:sz w:val="32"/>
          <w:szCs w:val="32"/>
          <w:lang w:val="en-US" w:eastAsia="zh-CN"/>
        </w:rPr>
      </w:pPr>
      <w:r>
        <w:rPr>
          <w:rFonts w:hint="eastAsia"/>
          <w:sz w:val="32"/>
          <w:szCs w:val="32"/>
          <w:lang w:val="en-US" w:eastAsia="zh-CN"/>
        </w:rPr>
        <w:t>会议室课桌、候诊椅、检查床等采购</w:t>
      </w:r>
      <w:r>
        <w:rPr>
          <w:rFonts w:hint="eastAsia"/>
          <w:sz w:val="32"/>
          <w:szCs w:val="32"/>
        </w:rPr>
        <w:t>项目</w:t>
      </w:r>
      <w:r>
        <w:rPr>
          <w:rFonts w:hint="eastAsia"/>
          <w:sz w:val="32"/>
          <w:szCs w:val="32"/>
          <w:lang w:eastAsia="zh-CN"/>
        </w:rPr>
        <w:t>（二次）比选</w:t>
      </w:r>
      <w:r>
        <w:rPr>
          <w:rFonts w:hint="eastAsia"/>
          <w:sz w:val="32"/>
          <w:szCs w:val="32"/>
          <w:lang w:val="en-US" w:eastAsia="zh-CN"/>
        </w:rPr>
        <w:t>文件</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default"/>
          <w:lang w:val="en-US" w:eastAsia="zh-CN"/>
        </w:rPr>
      </w:pPr>
      <w:bookmarkStart w:id="0" w:name="_Toc421277690"/>
      <w:bookmarkStart w:id="1" w:name="_Toc414614594"/>
      <w:bookmarkStart w:id="2" w:name="_Toc414266428"/>
      <w:bookmarkStart w:id="3" w:name="_Toc414266274"/>
      <w:bookmarkStart w:id="4" w:name="_Toc25824"/>
      <w:bookmarkStart w:id="5" w:name="_Toc427148984"/>
      <w:r>
        <w:rPr>
          <w:rFonts w:hint="eastAsia"/>
          <w:b/>
          <w:kern w:val="44"/>
          <w:sz w:val="24"/>
          <w:lang w:val="en-US" w:eastAsia="zh-CN"/>
        </w:rPr>
        <w:t>一、项目名称：</w:t>
      </w:r>
      <w:r>
        <w:rPr>
          <w:rFonts w:hint="eastAsia" w:ascii="宋体" w:hAnsi="宋体" w:eastAsia="宋体" w:cs="宋体"/>
          <w:sz w:val="24"/>
          <w:lang w:val="en-US" w:eastAsia="zh-CN"/>
        </w:rPr>
        <w:t>会议室课桌、候诊椅、检查床等采购项目</w:t>
      </w:r>
      <w:r>
        <w:rPr>
          <w:rFonts w:hint="eastAsia" w:ascii="宋体" w:hAnsi="宋体" w:cs="宋体"/>
          <w:sz w:val="24"/>
          <w:lang w:val="en-US" w:eastAsia="zh-CN"/>
        </w:rPr>
        <w:t>（二次</w:t>
      </w:r>
      <w:bookmarkStart w:id="20" w:name="_GoBack"/>
      <w:bookmarkEnd w:id="20"/>
      <w:r>
        <w:rPr>
          <w:rFonts w:hint="eastAsia" w:ascii="宋体" w:hAnsi="宋体" w:cs="宋体"/>
          <w:sz w:val="24"/>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lang w:val="en-US" w:eastAsia="zh-CN"/>
        </w:rPr>
      </w:pPr>
      <w:r>
        <w:rPr>
          <w:rFonts w:hint="eastAsia"/>
          <w:b/>
          <w:kern w:val="44"/>
          <w:sz w:val="24"/>
          <w:lang w:val="en-US" w:eastAsia="zh-CN"/>
        </w:rPr>
        <w:t>二、预算金额</w:t>
      </w:r>
      <w:r>
        <w:rPr>
          <w:rFonts w:hint="eastAsia" w:ascii="宋体" w:hAnsi="宋体" w:eastAsia="宋体" w:cs="宋体"/>
          <w:b/>
          <w:bCs/>
          <w:sz w:val="24"/>
          <w:lang w:val="en-US" w:eastAsia="zh-CN"/>
        </w:rPr>
        <w:t>：</w:t>
      </w:r>
      <w:r>
        <w:rPr>
          <w:rFonts w:hint="eastAsia" w:ascii="宋体" w:hAnsi="宋体" w:cs="宋体"/>
          <w:b w:val="0"/>
          <w:bCs w:val="0"/>
          <w:sz w:val="24"/>
          <w:lang w:val="en-US" w:eastAsia="zh-CN"/>
        </w:rPr>
        <w:t>33000.00元，最高限价32060.00元。</w:t>
      </w:r>
      <w:r>
        <w:rPr>
          <w:rFonts w:hint="eastAsia" w:ascii="宋体" w:hAnsi="宋体" w:cs="宋体"/>
          <w:b/>
          <w:bCs/>
          <w:sz w:val="24"/>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b/>
          <w:kern w:val="44"/>
          <w:sz w:val="24"/>
          <w:lang w:val="en-US" w:eastAsia="zh-CN"/>
        </w:rPr>
      </w:pPr>
      <w:r>
        <w:rPr>
          <w:rFonts w:hint="eastAsia"/>
          <w:b/>
          <w:kern w:val="44"/>
          <w:sz w:val="24"/>
          <w:lang w:val="en-US" w:eastAsia="zh-CN"/>
        </w:rPr>
        <w:t>三</w:t>
      </w:r>
      <w:r>
        <w:rPr>
          <w:b/>
          <w:kern w:val="44"/>
          <w:sz w:val="24"/>
        </w:rPr>
        <w:t>、</w:t>
      </w:r>
      <w:bookmarkEnd w:id="0"/>
      <w:bookmarkEnd w:id="1"/>
      <w:bookmarkEnd w:id="2"/>
      <w:bookmarkEnd w:id="3"/>
      <w:bookmarkEnd w:id="4"/>
      <w:bookmarkEnd w:id="5"/>
      <w:r>
        <w:rPr>
          <w:rFonts w:hint="eastAsia"/>
          <w:b/>
          <w:kern w:val="44"/>
          <w:sz w:val="24"/>
          <w:lang w:val="en-US" w:eastAsia="zh-CN"/>
        </w:rPr>
        <w:t>产品清单及技术参数</w:t>
      </w:r>
    </w:p>
    <w:p>
      <w:pPr>
        <w:pStyle w:val="2"/>
        <w:keepNext w:val="0"/>
        <w:keepLines w:val="0"/>
        <w:pageBreakBefore w:val="0"/>
        <w:widowControl w:val="0"/>
        <w:kinsoku/>
        <w:wordWrap/>
        <w:overflowPunct/>
        <w:topLinePunct w:val="0"/>
        <w:autoSpaceDE/>
        <w:autoSpaceDN/>
        <w:bidi w:val="0"/>
        <w:adjustRightInd/>
        <w:spacing w:after="0" w:line="360" w:lineRule="auto"/>
        <w:ind w:firstLine="482" w:firstLineChars="200"/>
        <w:textAlignment w:val="auto"/>
        <w:rPr>
          <w:rFonts w:hint="default"/>
          <w:lang w:val="en-US" w:eastAsia="zh-CN"/>
        </w:rPr>
      </w:pPr>
      <w:r>
        <w:rPr>
          <w:rFonts w:hint="eastAsia"/>
          <w:b/>
          <w:kern w:val="44"/>
          <w:sz w:val="24"/>
          <w:lang w:val="en-US" w:eastAsia="zh-CN"/>
        </w:rPr>
        <w:t>1.产品清单</w:t>
      </w:r>
    </w:p>
    <w:tbl>
      <w:tblPr>
        <w:tblStyle w:val="7"/>
        <w:tblW w:w="9360" w:type="dxa"/>
        <w:jc w:val="center"/>
        <w:tblInd w:w="0" w:type="dxa"/>
        <w:tblLayout w:type="fixed"/>
        <w:tblCellMar>
          <w:top w:w="0" w:type="dxa"/>
          <w:left w:w="108" w:type="dxa"/>
          <w:bottom w:w="0" w:type="dxa"/>
          <w:right w:w="108" w:type="dxa"/>
        </w:tblCellMar>
      </w:tblPr>
      <w:tblGrid>
        <w:gridCol w:w="798"/>
        <w:gridCol w:w="2412"/>
        <w:gridCol w:w="2400"/>
        <w:gridCol w:w="663"/>
        <w:gridCol w:w="700"/>
        <w:gridCol w:w="1191"/>
        <w:gridCol w:w="1196"/>
      </w:tblGrid>
      <w:tr>
        <w:tblPrEx>
          <w:tblLayout w:type="fixed"/>
          <w:tblCellMar>
            <w:top w:w="0" w:type="dxa"/>
            <w:left w:w="108" w:type="dxa"/>
            <w:bottom w:w="0" w:type="dxa"/>
            <w:right w:w="108" w:type="dxa"/>
          </w:tblCellMar>
        </w:tblPrEx>
        <w:trPr>
          <w:trHeight w:val="595" w:hRule="atLeast"/>
          <w:jc w:val="center"/>
        </w:trPr>
        <w:tc>
          <w:tcPr>
            <w:tcW w:w="79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2412" w:type="dxa"/>
            <w:tcBorders>
              <w:top w:val="single" w:color="auto" w:sz="8" w:space="0"/>
              <w:left w:val="nil"/>
              <w:bottom w:val="single" w:color="auto" w:sz="8" w:space="0"/>
              <w:right w:val="single" w:color="auto" w:sz="8" w:space="0"/>
            </w:tcBorders>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2400" w:type="dxa"/>
            <w:tcBorders>
              <w:top w:val="single" w:color="auto" w:sz="8" w:space="0"/>
              <w:left w:val="nil"/>
              <w:bottom w:val="nil"/>
              <w:right w:val="single" w:color="auto" w:sz="8"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规格</w:t>
            </w:r>
          </w:p>
        </w:tc>
        <w:tc>
          <w:tcPr>
            <w:tcW w:w="663" w:type="dxa"/>
            <w:tcBorders>
              <w:top w:val="single" w:color="auto" w:sz="8" w:space="0"/>
              <w:left w:val="nil"/>
              <w:bottom w:val="nil"/>
              <w:right w:val="single" w:color="auto" w:sz="8"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700" w:type="dxa"/>
            <w:tcBorders>
              <w:top w:val="single" w:color="auto" w:sz="8" w:space="0"/>
              <w:left w:val="nil"/>
              <w:bottom w:val="nil"/>
              <w:right w:val="single" w:color="auto" w:sz="8"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119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单价限价（元）</w:t>
            </w:r>
          </w:p>
        </w:tc>
        <w:tc>
          <w:tcPr>
            <w:tcW w:w="119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金额（元）</w:t>
            </w:r>
          </w:p>
        </w:tc>
      </w:tr>
      <w:tr>
        <w:tblPrEx>
          <w:tblLayout w:type="fixed"/>
          <w:tblCellMar>
            <w:top w:w="0" w:type="dxa"/>
            <w:left w:w="108" w:type="dxa"/>
            <w:bottom w:w="0" w:type="dxa"/>
            <w:right w:w="108" w:type="dxa"/>
          </w:tblCellMar>
        </w:tblPrEx>
        <w:trPr>
          <w:trHeight w:val="481" w:hRule="atLeast"/>
          <w:jc w:val="center"/>
        </w:trPr>
        <w:tc>
          <w:tcPr>
            <w:tcW w:w="798"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2412" w:type="dxa"/>
            <w:tcBorders>
              <w:top w:val="nil"/>
              <w:left w:val="nil"/>
              <w:bottom w:val="single" w:color="auto" w:sz="8" w:space="0"/>
              <w:right w:val="single" w:color="auto" w:sz="8" w:space="0"/>
            </w:tcBorders>
            <w:noWrap/>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color w:val="000000"/>
                <w:kern w:val="0"/>
                <w:sz w:val="21"/>
                <w:szCs w:val="21"/>
                <w:lang w:val="en-US" w:eastAsia="zh-CN" w:bidi="ar"/>
              </w:rPr>
              <w:t>会议室课桌</w:t>
            </w:r>
          </w:p>
        </w:tc>
        <w:tc>
          <w:tcPr>
            <w:tcW w:w="2400" w:type="dxa"/>
            <w:tcBorders>
              <w:top w:val="single" w:color="auto" w:sz="8" w:space="0"/>
              <w:left w:val="nil"/>
              <w:bottom w:val="single" w:color="auto" w:sz="8"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cs="宋体"/>
                <w:color w:val="000000"/>
                <w:kern w:val="0"/>
                <w:sz w:val="18"/>
                <w:szCs w:val="18"/>
                <w:lang w:bidi="ar"/>
              </w:rPr>
              <w:t>1200*300*760</w:t>
            </w:r>
            <w:r>
              <w:rPr>
                <w:rFonts w:hint="eastAsia" w:ascii="宋体" w:hAnsi="宋体" w:cs="宋体"/>
                <w:color w:val="000000"/>
                <w:kern w:val="0"/>
                <w:sz w:val="18"/>
                <w:szCs w:val="18"/>
                <w:lang w:val="en-US" w:eastAsia="zh-CN" w:bidi="ar"/>
              </w:rPr>
              <w:t>mm</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eastAsia="zh-CN" w:bidi="ar"/>
              </w:rPr>
              <w:t>）</w:t>
            </w:r>
          </w:p>
        </w:tc>
        <w:tc>
          <w:tcPr>
            <w:tcW w:w="663" w:type="dxa"/>
            <w:tcBorders>
              <w:top w:val="single" w:color="auto" w:sz="8" w:space="0"/>
              <w:left w:val="nil"/>
              <w:bottom w:val="single" w:color="auto" w:sz="8" w:space="0"/>
              <w:right w:val="single" w:color="auto" w:sz="8" w:space="0"/>
            </w:tcBorders>
            <w:noWrap/>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50</w:t>
            </w:r>
          </w:p>
        </w:tc>
        <w:tc>
          <w:tcPr>
            <w:tcW w:w="700" w:type="dxa"/>
            <w:tcBorders>
              <w:top w:val="single" w:color="auto" w:sz="8" w:space="0"/>
              <w:left w:val="nil"/>
              <w:bottom w:val="single" w:color="auto" w:sz="8"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val="en-US" w:eastAsia="zh-CN"/>
              </w:rPr>
              <w:t>张</w:t>
            </w:r>
          </w:p>
        </w:tc>
        <w:tc>
          <w:tcPr>
            <w:tcW w:w="119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230.00</w:t>
            </w:r>
          </w:p>
        </w:tc>
        <w:tc>
          <w:tcPr>
            <w:tcW w:w="119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11500.00</w:t>
            </w:r>
          </w:p>
        </w:tc>
      </w:tr>
      <w:tr>
        <w:tblPrEx>
          <w:tblLayout w:type="fixed"/>
          <w:tblCellMar>
            <w:top w:w="0" w:type="dxa"/>
            <w:left w:w="108" w:type="dxa"/>
            <w:bottom w:w="0" w:type="dxa"/>
            <w:right w:w="108" w:type="dxa"/>
          </w:tblCellMar>
        </w:tblPrEx>
        <w:trPr>
          <w:trHeight w:val="460" w:hRule="atLeast"/>
          <w:jc w:val="center"/>
        </w:trPr>
        <w:tc>
          <w:tcPr>
            <w:tcW w:w="798" w:type="dxa"/>
            <w:tcBorders>
              <w:top w:val="nil"/>
              <w:left w:val="single" w:color="auto" w:sz="8" w:space="0"/>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2412"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检查床</w:t>
            </w:r>
          </w:p>
        </w:tc>
        <w:tc>
          <w:tcPr>
            <w:tcW w:w="2400"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cs="宋体"/>
                <w:color w:val="000000"/>
                <w:sz w:val="18"/>
                <w:szCs w:val="18"/>
              </w:rPr>
              <w:t>1900*650*650</w:t>
            </w:r>
            <w:r>
              <w:rPr>
                <w:rFonts w:hint="eastAsia" w:ascii="宋体" w:hAnsi="宋体" w:cs="宋体"/>
                <w:color w:val="000000"/>
                <w:sz w:val="18"/>
                <w:szCs w:val="18"/>
                <w:lang w:val="en-US" w:eastAsia="zh-CN"/>
              </w:rPr>
              <w:t>mm</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eastAsia="zh-CN" w:bidi="ar"/>
              </w:rPr>
              <w:t>）</w:t>
            </w:r>
          </w:p>
        </w:tc>
        <w:tc>
          <w:tcPr>
            <w:tcW w:w="663" w:type="dxa"/>
            <w:tcBorders>
              <w:top w:val="nil"/>
              <w:left w:val="nil"/>
              <w:bottom w:val="single" w:color="auto" w:sz="4" w:space="0"/>
              <w:right w:val="single" w:color="auto" w:sz="8" w:space="0"/>
            </w:tcBorders>
            <w:noWrap/>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2</w:t>
            </w:r>
          </w:p>
        </w:tc>
        <w:tc>
          <w:tcPr>
            <w:tcW w:w="700"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val="en-US" w:eastAsia="zh-CN"/>
              </w:rPr>
              <w:t>张</w:t>
            </w:r>
          </w:p>
        </w:tc>
        <w:tc>
          <w:tcPr>
            <w:tcW w:w="1191"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680.00</w:t>
            </w:r>
          </w:p>
        </w:tc>
        <w:tc>
          <w:tcPr>
            <w:tcW w:w="1196"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1360.00</w:t>
            </w:r>
          </w:p>
        </w:tc>
      </w:tr>
      <w:tr>
        <w:tblPrEx>
          <w:tblLayout w:type="fixed"/>
          <w:tblCellMar>
            <w:top w:w="0" w:type="dxa"/>
            <w:left w:w="108" w:type="dxa"/>
            <w:bottom w:w="0" w:type="dxa"/>
            <w:right w:w="108" w:type="dxa"/>
          </w:tblCellMar>
        </w:tblPrEx>
        <w:trPr>
          <w:trHeight w:val="467" w:hRule="atLeast"/>
          <w:jc w:val="center"/>
        </w:trPr>
        <w:tc>
          <w:tcPr>
            <w:tcW w:w="798" w:type="dxa"/>
            <w:tcBorders>
              <w:top w:val="nil"/>
              <w:left w:val="single" w:color="auto" w:sz="8" w:space="0"/>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3</w:t>
            </w:r>
          </w:p>
        </w:tc>
        <w:tc>
          <w:tcPr>
            <w:tcW w:w="2412"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四</w:t>
            </w:r>
            <w:r>
              <w:rPr>
                <w:rFonts w:hint="eastAsia" w:ascii="宋体" w:hAnsi="宋体" w:eastAsia="宋体" w:cs="宋体"/>
                <w:b w:val="0"/>
                <w:bCs w:val="0"/>
                <w:color w:val="000000"/>
                <w:kern w:val="0"/>
                <w:sz w:val="21"/>
                <w:szCs w:val="21"/>
              </w:rPr>
              <w:t>人位候诊椅（</w:t>
            </w:r>
            <w:r>
              <w:rPr>
                <w:rFonts w:hint="eastAsia" w:ascii="宋体" w:hAnsi="宋体" w:cs="宋体"/>
                <w:b w:val="0"/>
                <w:bCs w:val="0"/>
                <w:color w:val="000000"/>
                <w:kern w:val="0"/>
                <w:sz w:val="21"/>
                <w:szCs w:val="21"/>
                <w:lang w:val="en-US" w:eastAsia="zh-CN"/>
              </w:rPr>
              <w:t>有</w:t>
            </w:r>
            <w:r>
              <w:rPr>
                <w:rFonts w:hint="eastAsia" w:ascii="宋体" w:hAnsi="宋体" w:eastAsia="宋体" w:cs="宋体"/>
                <w:b w:val="0"/>
                <w:bCs w:val="0"/>
                <w:color w:val="000000"/>
                <w:kern w:val="0"/>
                <w:sz w:val="21"/>
                <w:szCs w:val="21"/>
              </w:rPr>
              <w:t>靠背）</w:t>
            </w:r>
          </w:p>
        </w:tc>
        <w:tc>
          <w:tcPr>
            <w:tcW w:w="2400" w:type="dxa"/>
            <w:tcBorders>
              <w:top w:val="nil"/>
              <w:left w:val="nil"/>
              <w:bottom w:val="single" w:color="auto" w:sz="4" w:space="0"/>
              <w:right w:val="single" w:color="auto" w:sz="8" w:space="0"/>
            </w:tcBorders>
            <w:noWrap/>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color w:val="000000"/>
                <w:sz w:val="18"/>
                <w:szCs w:val="18"/>
              </w:rPr>
              <w:t>2372*670*770</w:t>
            </w:r>
            <w:r>
              <w:rPr>
                <w:rFonts w:hint="eastAsia" w:ascii="宋体" w:hAnsi="宋体" w:cs="宋体"/>
                <w:color w:val="000000"/>
                <w:sz w:val="18"/>
                <w:szCs w:val="18"/>
                <w:lang w:val="en-US" w:eastAsia="zh-CN"/>
              </w:rPr>
              <w:t>mm</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eastAsia="zh-CN" w:bidi="ar"/>
              </w:rPr>
              <w:t>）</w:t>
            </w:r>
          </w:p>
        </w:tc>
        <w:tc>
          <w:tcPr>
            <w:tcW w:w="663" w:type="dxa"/>
            <w:tcBorders>
              <w:top w:val="nil"/>
              <w:left w:val="nil"/>
              <w:bottom w:val="single" w:color="auto" w:sz="4" w:space="0"/>
              <w:right w:val="single" w:color="auto" w:sz="8" w:space="0"/>
            </w:tcBorders>
            <w:noWrap/>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8</w:t>
            </w:r>
          </w:p>
        </w:tc>
        <w:tc>
          <w:tcPr>
            <w:tcW w:w="700"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组</w:t>
            </w:r>
          </w:p>
        </w:tc>
        <w:tc>
          <w:tcPr>
            <w:tcW w:w="1191"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2400.00</w:t>
            </w:r>
          </w:p>
        </w:tc>
        <w:tc>
          <w:tcPr>
            <w:tcW w:w="1196"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19200.00</w:t>
            </w:r>
          </w:p>
        </w:tc>
      </w:tr>
      <w:tr>
        <w:tblPrEx>
          <w:tblLayout w:type="fixed"/>
          <w:tblCellMar>
            <w:top w:w="0" w:type="dxa"/>
            <w:left w:w="108" w:type="dxa"/>
            <w:bottom w:w="0" w:type="dxa"/>
            <w:right w:w="108" w:type="dxa"/>
          </w:tblCellMar>
        </w:tblPrEx>
        <w:trPr>
          <w:trHeight w:val="494" w:hRule="atLeast"/>
          <w:jc w:val="center"/>
        </w:trPr>
        <w:tc>
          <w:tcPr>
            <w:tcW w:w="7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合计（元）</w:t>
            </w:r>
          </w:p>
        </w:tc>
        <w:tc>
          <w:tcPr>
            <w:tcW w:w="8562"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32060.00</w:t>
            </w:r>
            <w:r>
              <w:rPr>
                <w:rFonts w:hint="eastAsia" w:ascii="宋体" w:hAnsi="宋体" w:eastAsia="宋体" w:cs="宋体"/>
                <w:b/>
                <w:bCs/>
                <w:color w:val="000000"/>
                <w:kern w:val="0"/>
                <w:sz w:val="21"/>
                <w:szCs w:val="21"/>
                <w:lang w:val="en-US" w:eastAsia="zh-CN"/>
              </w:rPr>
              <w:t>元（大写：</w:t>
            </w:r>
            <w:r>
              <w:rPr>
                <w:rFonts w:hint="eastAsia" w:ascii="宋体" w:hAnsi="宋体" w:cs="宋体"/>
                <w:b/>
                <w:bCs/>
                <w:color w:val="000000"/>
                <w:kern w:val="0"/>
                <w:sz w:val="21"/>
                <w:szCs w:val="21"/>
                <w:lang w:val="en-US" w:eastAsia="zh-CN"/>
              </w:rPr>
              <w:t>叁万贰仟零陆拾圆</w:t>
            </w:r>
            <w:r>
              <w:rPr>
                <w:rFonts w:hint="eastAsia" w:ascii="宋体" w:hAnsi="宋体" w:eastAsia="宋体" w:cs="宋体"/>
                <w:b/>
                <w:bCs/>
                <w:color w:val="000000"/>
                <w:kern w:val="0"/>
                <w:sz w:val="21"/>
                <w:szCs w:val="21"/>
                <w:lang w:val="en-US" w:eastAsia="zh-CN"/>
              </w:rPr>
              <w:t>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rPr>
      </w:pPr>
      <w:r>
        <w:rPr>
          <w:rFonts w:hint="eastAsia"/>
          <w:b/>
          <w:kern w:val="44"/>
          <w:sz w:val="24"/>
          <w:lang w:val="en-US" w:eastAsia="zh-CN"/>
        </w:rPr>
        <w:t>2.技术参数要求</w:t>
      </w:r>
    </w:p>
    <w:tbl>
      <w:tblPr>
        <w:tblStyle w:val="7"/>
        <w:tblW w:w="10440" w:type="dxa"/>
        <w:tblInd w:w="-777" w:type="dxa"/>
        <w:tblLayout w:type="fixed"/>
        <w:tblCellMar>
          <w:top w:w="0" w:type="dxa"/>
          <w:left w:w="108" w:type="dxa"/>
          <w:bottom w:w="0" w:type="dxa"/>
          <w:right w:w="108" w:type="dxa"/>
        </w:tblCellMar>
      </w:tblPr>
      <w:tblGrid>
        <w:gridCol w:w="420"/>
        <w:gridCol w:w="731"/>
        <w:gridCol w:w="1624"/>
        <w:gridCol w:w="4410"/>
        <w:gridCol w:w="691"/>
        <w:gridCol w:w="629"/>
        <w:gridCol w:w="1935"/>
      </w:tblGrid>
      <w:tr>
        <w:tblPrEx>
          <w:tblLayout w:type="fixed"/>
          <w:tblCellMar>
            <w:top w:w="0" w:type="dxa"/>
            <w:left w:w="108" w:type="dxa"/>
            <w:bottom w:w="0" w:type="dxa"/>
            <w:right w:w="108" w:type="dxa"/>
          </w:tblCellMar>
        </w:tblPrEx>
        <w:trPr>
          <w:trHeight w:val="640" w:hRule="atLeast"/>
        </w:trPr>
        <w:tc>
          <w:tcPr>
            <w:tcW w:w="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货物名称</w:t>
            </w:r>
          </w:p>
        </w:tc>
        <w:tc>
          <w:tcPr>
            <w:tcW w:w="16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规格</w:t>
            </w:r>
          </w:p>
        </w:tc>
        <w:tc>
          <w:tcPr>
            <w:tcW w:w="4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技术及功能要求</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数量</w:t>
            </w:r>
            <w:r>
              <w:rPr>
                <w:rFonts w:hint="eastAsia"/>
                <w:b/>
                <w:kern w:val="44"/>
                <w:sz w:val="21"/>
                <w:szCs w:val="21"/>
              </w:rPr>
              <w:t>★</w:t>
            </w:r>
          </w:p>
        </w:tc>
        <w:tc>
          <w:tcPr>
            <w:tcW w:w="6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单位</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bidi="ar"/>
              </w:rPr>
              <w:t>参考图片</w:t>
            </w:r>
          </w:p>
        </w:tc>
      </w:tr>
      <w:tr>
        <w:tblPrEx>
          <w:tblLayout w:type="fixed"/>
          <w:tblCellMar>
            <w:top w:w="0" w:type="dxa"/>
            <w:left w:w="108" w:type="dxa"/>
            <w:bottom w:w="0" w:type="dxa"/>
            <w:right w:w="108" w:type="dxa"/>
          </w:tblCellMar>
        </w:tblPrEx>
        <w:trPr>
          <w:trHeight w:val="189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会议室课桌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1200*300*760</w:t>
            </w:r>
            <w:r>
              <w:rPr>
                <w:rFonts w:hint="eastAsia" w:ascii="宋体" w:hAnsi="宋体" w:cs="宋体"/>
                <w:color w:val="000000"/>
                <w:kern w:val="0"/>
                <w:sz w:val="18"/>
                <w:szCs w:val="18"/>
                <w:lang w:val="en-US" w:eastAsia="zh-CN" w:bidi="ar"/>
              </w:rPr>
              <w:t>mm</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eastAsia="zh-CN" w:bidi="ar"/>
              </w:rPr>
              <w:t>）</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color w:val="000000"/>
                <w:sz w:val="18"/>
                <w:szCs w:val="18"/>
              </w:rPr>
            </w:pPr>
            <w:r>
              <w:rPr>
                <w:rFonts w:hint="eastAsia"/>
                <w:color w:val="000000"/>
                <w:sz w:val="18"/>
                <w:szCs w:val="18"/>
              </w:rPr>
              <w:t>1.▲基材：采用E1级中密度纤维板符合：GB/T11718-2021中密度纤维板标准，24h 吸水厚度膨胀率≤4.9%、静曲强度≥32.5MPa、内胶合强度≥0.88MPa、表面胶合强度≥1.17MPa、含水率≤5.2%、甲醛释放量≤0.046g/cm³（提供“中密度纤维板”带CNAS或CMA的第三方检测机构出具的检测报告扫描件）。</w:t>
            </w:r>
          </w:p>
          <w:p>
            <w:pPr>
              <w:widowControl/>
              <w:jc w:val="left"/>
              <w:textAlignment w:val="center"/>
              <w:rPr>
                <w:rFonts w:hint="eastAsia"/>
                <w:color w:val="000000"/>
                <w:sz w:val="18"/>
                <w:szCs w:val="18"/>
              </w:rPr>
            </w:pPr>
            <w:r>
              <w:rPr>
                <w:rFonts w:hint="eastAsia"/>
                <w:color w:val="000000"/>
                <w:sz w:val="18"/>
                <w:szCs w:val="18"/>
              </w:rPr>
              <w:t>2.▲PVC封边条符合：QB/T 4463-2013《家具用封边条技术要求》塑料封边条外观无缺陷、耐冷热循环性无龟裂、无鼓泡、无变色、无起皱，甲醛释放量未检出（检出限：0.05mg/L）（提供“PVC封边条”带CNAS或CMA的第三方检测机构出具的检测报告扫描件）；</w:t>
            </w:r>
          </w:p>
          <w:p>
            <w:pPr>
              <w:widowControl/>
              <w:jc w:val="left"/>
              <w:textAlignment w:val="center"/>
              <w:rPr>
                <w:rFonts w:hint="eastAsia" w:ascii="宋体" w:hAnsi="宋体" w:cs="宋体"/>
                <w:color w:val="000000"/>
                <w:sz w:val="18"/>
                <w:szCs w:val="18"/>
              </w:rPr>
            </w:pPr>
            <w:r>
              <w:rPr>
                <w:rFonts w:hint="eastAsia"/>
                <w:color w:val="000000"/>
                <w:sz w:val="18"/>
                <w:szCs w:val="18"/>
              </w:rPr>
              <w:t>3.▲贴面材料：</w:t>
            </w:r>
            <w:r>
              <w:rPr>
                <w:rFonts w:hint="eastAsia"/>
                <w:color w:val="000000"/>
                <w:sz w:val="18"/>
                <w:szCs w:val="18"/>
                <w:lang w:val="en-US" w:eastAsia="zh-CN"/>
              </w:rPr>
              <w:t>采用</w:t>
            </w:r>
            <w:r>
              <w:rPr>
                <w:rFonts w:hint="eastAsia"/>
                <w:color w:val="000000"/>
                <w:sz w:val="18"/>
                <w:szCs w:val="18"/>
              </w:rPr>
              <w:t>三聚氰胺纸饰面符合GB/T 28995-2022检测标准</w:t>
            </w:r>
            <w:r>
              <w:rPr>
                <w:rFonts w:hint="eastAsia"/>
                <w:color w:val="000000"/>
                <w:sz w:val="18"/>
                <w:szCs w:val="18"/>
                <w:lang w:eastAsia="zh-CN"/>
              </w:rPr>
              <w:t>，</w:t>
            </w:r>
            <w:r>
              <w:rPr>
                <w:rFonts w:hint="eastAsia"/>
                <w:color w:val="000000"/>
                <w:sz w:val="18"/>
                <w:szCs w:val="18"/>
                <w:lang w:val="en-US" w:eastAsia="zh-CN"/>
              </w:rPr>
              <w:t>水分-素色纸≤1.8</w:t>
            </w:r>
            <w:r>
              <w:rPr>
                <w:rFonts w:hint="eastAsia"/>
                <w:color w:val="000000"/>
                <w:sz w:val="18"/>
                <w:szCs w:val="18"/>
              </w:rPr>
              <w:t>%</w:t>
            </w:r>
            <w:r>
              <w:rPr>
                <w:rFonts w:hint="eastAsia"/>
                <w:color w:val="000000"/>
                <w:sz w:val="18"/>
                <w:szCs w:val="18"/>
                <w:lang w:eastAsia="zh-CN"/>
              </w:rPr>
              <w:t>，</w:t>
            </w:r>
            <w:r>
              <w:rPr>
                <w:rFonts w:hint="eastAsia"/>
                <w:color w:val="000000"/>
                <w:sz w:val="18"/>
                <w:szCs w:val="18"/>
                <w:lang w:val="en-US" w:eastAsia="zh-CN"/>
              </w:rPr>
              <w:t>甲醛释放量≤0.3</w:t>
            </w:r>
            <w:r>
              <w:rPr>
                <w:rFonts w:hint="eastAsia"/>
                <w:color w:val="000000"/>
                <w:sz w:val="18"/>
                <w:szCs w:val="18"/>
              </w:rPr>
              <w:t>mg/L（提供“三聚氰胺纸”带CNAS或CMA的第三方检测机构出具的检测报告扫描件）。                                                                                                    4.▲三合一连接件，符合力学性能 三合一偏心连接件偏心体抗压强度≥282N，三合一偏心连接件预埋螺母抗拉强度≥618N，三合一偏心连接件中连接螺杆螺纹与预埋螺母的抗拉强度≥997N，家具涂层可迁移元素（铅、镉、铬、汞、锑、钡、硒、砷）未检出，金属涂层耐腐蚀等级≥10级（提供“三合一连接件”具带CNAS或CMA的第三方检测报告影印件）；</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50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张</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color w:val="000000"/>
                <w:sz w:val="18"/>
                <w:szCs w:val="18"/>
              </w:rPr>
            </w:pPr>
            <w:r>
              <w:drawing>
                <wp:inline distT="0" distB="0" distL="114300" distR="114300">
                  <wp:extent cx="1119505" cy="898525"/>
                  <wp:effectExtent l="0" t="0" r="444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119505" cy="89852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979"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1"/>
                <w:szCs w:val="21"/>
              </w:rPr>
            </w:pPr>
            <w:r>
              <w:rPr>
                <w:rFonts w:hint="eastAsia" w:ascii="宋体" w:hAnsi="宋体" w:cs="宋体"/>
                <w:b w:val="0"/>
                <w:bCs w:val="0"/>
                <w:color w:val="000000"/>
                <w:kern w:val="0"/>
                <w:sz w:val="21"/>
                <w:szCs w:val="21"/>
                <w:lang w:val="en-US" w:eastAsia="zh-CN"/>
              </w:rPr>
              <w:t>检查床</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1900*650*650</w:t>
            </w:r>
            <w:r>
              <w:rPr>
                <w:rFonts w:hint="eastAsia" w:ascii="宋体" w:hAnsi="宋体" w:cs="宋体"/>
                <w:color w:val="000000"/>
                <w:sz w:val="18"/>
                <w:szCs w:val="18"/>
                <w:lang w:val="en-US" w:eastAsia="zh-CN"/>
              </w:rPr>
              <w:t>mm</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eastAsia="zh-CN" w:bidi="ar"/>
              </w:rPr>
              <w:t>）</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9"/>
                <w:rFonts w:hint="default"/>
                <w:lang w:bidi="ar"/>
              </w:rPr>
            </w:pPr>
            <w:r>
              <w:rPr>
                <w:rStyle w:val="9"/>
                <w:rFonts w:hint="default"/>
                <w:lang w:bidi="ar"/>
              </w:rPr>
              <w:t>1.▲床框采用不小于1.0mm冷轧钢板表面多功能处理静电喷塑。符合GB/T11253-2019《碳素结构钢冷轧钢板及钢带》要求，C≤0.12%，P≤0.035%，Mn≤0.5%，S≤0.035%，Si≤0.03%，力学性能抗拉强度Rm：315～430MPa，屈服强度Rel≥195MPa，断后伸长率A80mm≥24%（提供“冷轧钢板”带CNAS或CMA的第三方检测报告影印件）；</w:t>
            </w:r>
          </w:p>
          <w:p>
            <w:pPr>
              <w:widowControl/>
              <w:jc w:val="left"/>
              <w:textAlignment w:val="center"/>
              <w:rPr>
                <w:rStyle w:val="9"/>
                <w:rFonts w:hint="default"/>
                <w:lang w:bidi="ar"/>
              </w:rPr>
            </w:pPr>
            <w:r>
              <w:rPr>
                <w:rStyle w:val="9"/>
                <w:rFonts w:hint="default"/>
                <w:lang w:bidi="ar"/>
              </w:rPr>
              <w:t>2.▲床面材质采用高级蓝色人造革。符合QB/T 5067-2017《家具用聚氯乙烯人造革》和GB/T 16799-2018《家具用皮革》要求耐摩擦性表面无破裂，表面颜色牢度-干摩擦沾色≥4级，褪色≥4级，表面颜色牢度-湿摩擦沾色≥4级，褪色≥4级，禁用偶氮染料未检出，游离甲醛未检出，挥发性有机物(VOC)未检出，可萃取的重金属-铅(Pb)未检出，可萃取的重金属-镉(cd)未检出（提供“人造革”带CNAS或CMA的第三方检测报告影印件）。                        3.▲内衬采用高密度海绵，海绵的回弹率≥52%，拉伸强度≥120KPa，75%压缩永久变形≤2.9，撕裂强度≥2.8N/cm（提供“海绵”带CNAS或CMA的第三方检测机构出具的检测报告扫描件），底面采用优质七层板层板。</w:t>
            </w:r>
          </w:p>
          <w:p>
            <w:pPr>
              <w:widowControl/>
              <w:jc w:val="left"/>
              <w:textAlignment w:val="center"/>
              <w:rPr>
                <w:rStyle w:val="9"/>
                <w:rFonts w:hint="default"/>
                <w:lang w:bidi="ar"/>
              </w:rPr>
            </w:pPr>
            <w:r>
              <w:rPr>
                <w:rStyle w:val="9"/>
                <w:rFonts w:hint="default"/>
                <w:lang w:bidi="ar"/>
              </w:rPr>
              <w:t>4.床脚为Φ38*1.2mm优质碳钢圆管焊接成型，可拆卸折叠;床脚底部加胶套。</w:t>
            </w:r>
          </w:p>
          <w:p>
            <w:pPr>
              <w:widowControl/>
              <w:jc w:val="left"/>
              <w:textAlignment w:val="center"/>
              <w:rPr>
                <w:rFonts w:hint="eastAsia" w:eastAsia="宋体"/>
                <w:color w:val="000000"/>
                <w:sz w:val="18"/>
                <w:szCs w:val="18"/>
                <w:lang w:eastAsia="zh-CN"/>
              </w:rPr>
            </w:pPr>
            <w:r>
              <w:rPr>
                <w:rStyle w:val="9"/>
                <w:rFonts w:hint="default"/>
                <w:lang w:bidi="ar"/>
              </w:rPr>
              <w:t>5.床脚与床面支撑件采用≥3.0mm扁钢，支撑强度高。整体框架经表面处理后静电喷塑，使其具有更完美的外观和较强的耐化学腐蚀性和电绝缘性，配塑材料环保无毒，床面额定载荷≥120KG。</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000000"/>
                <w:sz w:val="18"/>
                <w:szCs w:val="18"/>
                <w:lang w:val="en-US" w:eastAsia="zh-CN"/>
              </w:rPr>
            </w:pPr>
            <w:r>
              <w:rPr>
                <w:rFonts w:hint="eastAsia"/>
                <w:color w:val="000000"/>
                <w:sz w:val="18"/>
                <w:szCs w:val="18"/>
                <w:lang w:val="en-US" w:eastAsia="zh-CN"/>
              </w:rPr>
              <w:t>张</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18"/>
                <w:szCs w:val="18"/>
              </w:rPr>
            </w:pPr>
            <w:r>
              <w:drawing>
                <wp:inline distT="0" distB="0" distL="114300" distR="114300">
                  <wp:extent cx="966470" cy="443865"/>
                  <wp:effectExtent l="0" t="0" r="5080" b="133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966470" cy="44386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888"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b w:val="0"/>
                <w:bCs w:val="0"/>
                <w:color w:val="000000"/>
                <w:kern w:val="0"/>
                <w:sz w:val="21"/>
                <w:szCs w:val="21"/>
                <w:lang w:val="en-US" w:eastAsia="zh-CN"/>
              </w:rPr>
              <w:t>四</w:t>
            </w:r>
            <w:r>
              <w:rPr>
                <w:rFonts w:hint="eastAsia" w:ascii="宋体" w:hAnsi="宋体" w:eastAsia="宋体" w:cs="宋体"/>
                <w:b w:val="0"/>
                <w:bCs w:val="0"/>
                <w:color w:val="000000"/>
                <w:kern w:val="0"/>
                <w:sz w:val="21"/>
                <w:szCs w:val="21"/>
              </w:rPr>
              <w:t>人位候诊椅（</w:t>
            </w:r>
            <w:r>
              <w:rPr>
                <w:rFonts w:hint="eastAsia" w:ascii="宋体" w:hAnsi="宋体" w:cs="宋体"/>
                <w:b w:val="0"/>
                <w:bCs w:val="0"/>
                <w:color w:val="000000"/>
                <w:kern w:val="0"/>
                <w:sz w:val="21"/>
                <w:szCs w:val="21"/>
                <w:lang w:val="en-US" w:eastAsia="zh-CN"/>
              </w:rPr>
              <w:t>有</w:t>
            </w:r>
            <w:r>
              <w:rPr>
                <w:rFonts w:hint="eastAsia" w:ascii="宋体" w:hAnsi="宋体" w:eastAsia="宋体" w:cs="宋体"/>
                <w:b w:val="0"/>
                <w:bCs w:val="0"/>
                <w:color w:val="000000"/>
                <w:kern w:val="0"/>
                <w:sz w:val="21"/>
                <w:szCs w:val="21"/>
              </w:rPr>
              <w:t>靠背）</w:t>
            </w:r>
          </w:p>
        </w:tc>
        <w:tc>
          <w:tcPr>
            <w:tcW w:w="16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2372*670*770</w:t>
            </w:r>
            <w:r>
              <w:rPr>
                <w:rFonts w:hint="eastAsia" w:ascii="宋体" w:hAnsi="宋体" w:cs="宋体"/>
                <w:color w:val="000000"/>
                <w:sz w:val="18"/>
                <w:szCs w:val="18"/>
                <w:lang w:val="en-US" w:eastAsia="zh-CN"/>
              </w:rPr>
              <w:t>mm</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eastAsia="zh-CN" w:bidi="ar"/>
              </w:rPr>
              <w:t>）</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olor w:val="000000"/>
                <w:sz w:val="18"/>
                <w:szCs w:val="18"/>
                <w:lang w:eastAsia="zh-CN"/>
              </w:rPr>
            </w:pPr>
            <w:r>
              <w:rPr>
                <w:rFonts w:hint="eastAsia" w:eastAsia="宋体"/>
                <w:color w:val="000000"/>
                <w:sz w:val="18"/>
                <w:szCs w:val="18"/>
                <w:lang w:eastAsia="zh-CN"/>
              </w:rPr>
              <w:t>1.承重横梁：采用不小于1.5mm厚度的三角钢板管，具有耐用且不易生锈特性，力学性能 Rp0.2≥160MPa，Rm≥200MPa，A50≥8%；，结构稳固不晃动、不变形。</w:t>
            </w:r>
          </w:p>
          <w:p>
            <w:pPr>
              <w:widowControl/>
              <w:jc w:val="left"/>
              <w:textAlignment w:val="center"/>
              <w:rPr>
                <w:rFonts w:hint="eastAsia" w:eastAsia="宋体"/>
                <w:color w:val="000000"/>
                <w:sz w:val="18"/>
                <w:szCs w:val="18"/>
                <w:lang w:eastAsia="zh-CN"/>
              </w:rPr>
            </w:pPr>
            <w:r>
              <w:rPr>
                <w:rFonts w:hint="eastAsia" w:eastAsia="宋体"/>
                <w:color w:val="000000"/>
                <w:sz w:val="18"/>
                <w:szCs w:val="18"/>
                <w:lang w:eastAsia="zh-CN"/>
              </w:rPr>
              <w:t>2.扶手脚：采用不小于1.2mm厚度的钢板管，具有耐用且不易生锈特性，力学性能 Rp0.2≥160MPa，Rm≥200MPa，A50≥8%；，结构稳固不晃动、不变形。</w:t>
            </w:r>
          </w:p>
          <w:p>
            <w:pPr>
              <w:widowControl/>
              <w:jc w:val="left"/>
              <w:textAlignment w:val="center"/>
              <w:rPr>
                <w:rFonts w:hint="eastAsia" w:eastAsia="宋体"/>
                <w:color w:val="000000"/>
                <w:sz w:val="18"/>
                <w:szCs w:val="18"/>
                <w:lang w:eastAsia="zh-CN"/>
              </w:rPr>
            </w:pPr>
            <w:r>
              <w:rPr>
                <w:rFonts w:hint="eastAsia" w:eastAsia="宋体"/>
                <w:color w:val="000000"/>
                <w:sz w:val="18"/>
                <w:szCs w:val="18"/>
                <w:lang w:eastAsia="zh-CN"/>
              </w:rPr>
              <w:t>3.▲座板：采用不小于1.2mm冷扎钢板。经精密冷拔成型，表面经过多次喷砂除锈，然后经静电喷处理，表面防腐能力经过强大测试，具有耐磨且不易生锈特性。符合GB/T11253-2019 《碳素结构钢冷轧钢板及钢带》要求，C≤0.12%，P≤0.035%，Mn≤0.5%，S≤0.035%，Si≤0.03%，力学性能抗拉强度Rm：315～430MPa，屈服强度Rel≥195MPa，断后伸长率A80mm≥24%（提供“冷轧钢板”带CNAS或CMA的第三方检测报告影印件）；</w:t>
            </w:r>
          </w:p>
          <w:p>
            <w:pPr>
              <w:widowControl/>
              <w:jc w:val="left"/>
              <w:textAlignment w:val="center"/>
              <w:rPr>
                <w:rFonts w:hint="eastAsia" w:eastAsia="宋体"/>
                <w:color w:val="000000"/>
                <w:sz w:val="18"/>
                <w:szCs w:val="18"/>
                <w:lang w:eastAsia="zh-CN"/>
              </w:rPr>
            </w:pPr>
            <w:r>
              <w:rPr>
                <w:rFonts w:hint="eastAsia" w:eastAsia="宋体"/>
                <w:color w:val="000000"/>
                <w:sz w:val="18"/>
                <w:szCs w:val="18"/>
                <w:lang w:eastAsia="zh-CN"/>
              </w:rPr>
              <w:t>4.▲垫子：PU革覆面，内衬聚氨甲酸酯，简称聚氨酯泡沫，由组合聚醚A与组合聚醚B，混合发泡成型弯板PU。摩擦色牢度-干擦500次-涂层厚度&gt;25 um 不小于4级，摩擦色牢度-湿擦250次-涂层厚度&gt;25 um不小于4级，摩擦色牢度-碱性汗液80次-涂层厚度&gt;25um 不小于4级，涂层粘着牢度&gt;10N/10mm，撕裂力&gt;50N，pH≥3.2，禁用偶氮染料未检出，游离甲醛(分光光度法)未检出（提供“PU（革）皮料”带CNAS或CMA的第三方检测报告影印件）。</w:t>
            </w:r>
          </w:p>
          <w:p>
            <w:pPr>
              <w:widowControl/>
              <w:jc w:val="left"/>
              <w:textAlignment w:val="center"/>
              <w:rPr>
                <w:rFonts w:hint="eastAsia" w:eastAsia="宋体"/>
                <w:color w:val="000000"/>
                <w:sz w:val="18"/>
                <w:szCs w:val="18"/>
                <w:lang w:eastAsia="zh-CN"/>
              </w:rPr>
            </w:pPr>
            <w:r>
              <w:rPr>
                <w:rFonts w:hint="eastAsia" w:eastAsia="宋体"/>
                <w:color w:val="000000"/>
                <w:sz w:val="18"/>
                <w:szCs w:val="18"/>
                <w:lang w:eastAsia="zh-CN"/>
              </w:rPr>
              <w:t xml:space="preserve">5.支撑架：椅面采用底部支撑架连接，底部支撑架≥4.5mm 热轧钢板折弯成型，表面喷涂处理，使整排座椅使用后保持一条水平线，加强椅面稳固性能，椅面安装位置可根据具体要求进行调整。                         </w:t>
            </w:r>
          </w:p>
          <w:p>
            <w:pPr>
              <w:widowControl/>
              <w:jc w:val="left"/>
              <w:textAlignment w:val="center"/>
              <w:rPr>
                <w:rStyle w:val="9"/>
                <w:rFonts w:hint="default"/>
                <w:lang w:bidi="ar"/>
              </w:rPr>
            </w:pPr>
            <w:r>
              <w:rPr>
                <w:rFonts w:hint="eastAsia" w:eastAsia="宋体"/>
                <w:color w:val="000000"/>
                <w:sz w:val="18"/>
                <w:szCs w:val="18"/>
                <w:lang w:eastAsia="zh-CN"/>
              </w:rPr>
              <w:t>6.▲等候椅符合检测类别包含但不限于：产品外形尺寸偏差，形状和位置公差，金属件外观要求（管材、焊接件、冲压件、皱纹或波纹、喷涂层），标志和使用说明，结构安全，配件，塑料件外观要求，金属喷漆(塑)涂层理化性能（硬度、冲击强度、耐腐蚀、附着力），椅凳类稳定性（提供“等候椅”带CNAS或CMA的第三方检测报告影印件）。</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9"/>
                <w:rFonts w:hint="default" w:eastAsia="宋体"/>
                <w:lang w:val="en-US" w:eastAsia="zh-CN" w:bidi="ar"/>
              </w:rPr>
            </w:pPr>
            <w:r>
              <w:rPr>
                <w:rStyle w:val="9"/>
                <w:rFonts w:hint="eastAsia"/>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9"/>
                <w:rFonts w:hint="default" w:eastAsia="宋体"/>
                <w:lang w:val="en-US" w:eastAsia="zh-CN" w:bidi="ar"/>
              </w:rPr>
            </w:pPr>
            <w:r>
              <w:rPr>
                <w:rStyle w:val="9"/>
                <w:rFonts w:hint="eastAsia"/>
                <w:lang w:val="en-US" w:eastAsia="zh-CN" w:bidi="ar"/>
              </w:rPr>
              <w:t>组</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9"/>
                <w:rFonts w:hint="default"/>
                <w:lang w:bidi="ar"/>
              </w:rPr>
            </w:pPr>
            <w:r>
              <w:drawing>
                <wp:inline distT="0" distB="0" distL="114300" distR="114300">
                  <wp:extent cx="1016000" cy="634365"/>
                  <wp:effectExtent l="0" t="0" r="12700" b="133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1016000" cy="634365"/>
                          </a:xfrm>
                          <a:prstGeom prst="rect">
                            <a:avLst/>
                          </a:prstGeom>
                          <a:noFill/>
                          <a:ln w="9525">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bookmarkStart w:id="6" w:name="_Toc427148986"/>
      <w:bookmarkStart w:id="7" w:name="_Toc414266276"/>
      <w:bookmarkStart w:id="8" w:name="_Toc414266430"/>
      <w:bookmarkStart w:id="9" w:name="_Toc421277692"/>
      <w:bookmarkStart w:id="10" w:name="_Toc269717613"/>
      <w:bookmarkStart w:id="11" w:name="_Toc414614596"/>
      <w:bookmarkStart w:id="12" w:name="_Toc1362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cs="宋体"/>
          <w:b/>
          <w:bCs/>
          <w:sz w:val="24"/>
          <w:lang w:val="en-US" w:eastAsia="zh-CN"/>
        </w:rPr>
        <w:t>四</w:t>
      </w:r>
      <w:r>
        <w:rPr>
          <w:rFonts w:hint="eastAsia" w:ascii="宋体" w:hAnsi="宋体" w:eastAsia="宋体" w:cs="宋体"/>
          <w:b/>
          <w:bCs/>
          <w:sz w:val="24"/>
          <w:lang w:val="en-US" w:eastAsia="zh-CN"/>
        </w:rPr>
        <w:t>、申请人参加本次比选活动，应当具备下列条件：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6.2供应商单位及其法定代表人、主要负责人不得具有行贿犯罪记录。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6.3拒绝列入失信被执行人、重大税收违法案件当事人名单、政府采购严重违法失信行为记录名单的比选申请人参加本次比选活动；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7.本项目不接受联合体参加比选。</w:t>
      </w:r>
    </w:p>
    <w:p>
      <w:pPr>
        <w:spacing w:line="520" w:lineRule="exact"/>
        <w:rPr>
          <w:b/>
          <w:kern w:val="44"/>
          <w:sz w:val="24"/>
        </w:rPr>
      </w:pPr>
      <w:r>
        <w:rPr>
          <w:rFonts w:hint="eastAsia"/>
          <w:b/>
          <w:kern w:val="44"/>
          <w:sz w:val="24"/>
        </w:rPr>
        <w:t>★</w:t>
      </w:r>
      <w:r>
        <w:rPr>
          <w:rFonts w:hint="eastAsia"/>
          <w:b/>
          <w:kern w:val="44"/>
          <w:sz w:val="24"/>
          <w:lang w:val="en-US" w:eastAsia="zh-CN"/>
        </w:rPr>
        <w:t>五</w:t>
      </w:r>
      <w:r>
        <w:rPr>
          <w:b/>
          <w:kern w:val="44"/>
          <w:sz w:val="24"/>
        </w:rPr>
        <w:t>、商务要求</w:t>
      </w:r>
      <w:bookmarkEnd w:id="6"/>
      <w:bookmarkEnd w:id="7"/>
      <w:bookmarkEnd w:id="8"/>
      <w:bookmarkEnd w:id="9"/>
      <w:bookmarkEnd w:id="10"/>
      <w:bookmarkEnd w:id="11"/>
      <w:bookmarkEnd w:id="12"/>
    </w:p>
    <w:p>
      <w:pPr>
        <w:spacing w:line="360" w:lineRule="auto"/>
        <w:ind w:firstLine="480" w:firstLineChars="200"/>
        <w:contextualSpacing/>
        <w:rPr>
          <w:rFonts w:ascii="宋体" w:hAnsi="宋体"/>
          <w:sz w:val="24"/>
        </w:rPr>
      </w:pPr>
      <w:r>
        <w:rPr>
          <w:rFonts w:hint="eastAsia" w:ascii="宋体" w:hAnsi="宋体"/>
          <w:sz w:val="24"/>
          <w:lang w:val="en-US" w:eastAsia="zh-CN"/>
        </w:rPr>
        <w:t>1.</w:t>
      </w:r>
      <w:r>
        <w:rPr>
          <w:rFonts w:hint="eastAsia" w:ascii="宋体" w:hAnsi="宋体"/>
          <w:sz w:val="24"/>
        </w:rPr>
        <w:t>交货时间：</w:t>
      </w:r>
      <w:r>
        <w:rPr>
          <w:rFonts w:hint="eastAsia" w:ascii="宋体" w:hAnsi="宋体" w:eastAsia="宋体" w:cs="宋体"/>
          <w:bCs/>
          <w:kern w:val="2"/>
          <w:sz w:val="24"/>
          <w:szCs w:val="22"/>
          <w:lang w:val="en-US" w:eastAsia="zh-CN" w:bidi="ar-SA"/>
        </w:rPr>
        <w:t>自合同签订之日起</w:t>
      </w:r>
      <w:r>
        <w:rPr>
          <w:rFonts w:hint="eastAsia" w:ascii="宋体" w:hAnsi="宋体" w:cs="宋体"/>
          <w:bCs/>
          <w:kern w:val="2"/>
          <w:sz w:val="24"/>
          <w:szCs w:val="22"/>
          <w:lang w:val="en-US" w:eastAsia="zh-CN" w:bidi="ar-SA"/>
        </w:rPr>
        <w:t>20</w:t>
      </w:r>
      <w:r>
        <w:rPr>
          <w:rFonts w:hint="eastAsia" w:ascii="宋体" w:hAnsi="宋体" w:eastAsia="宋体" w:cs="宋体"/>
          <w:bCs/>
          <w:kern w:val="2"/>
          <w:sz w:val="24"/>
          <w:szCs w:val="22"/>
          <w:lang w:val="en-US" w:eastAsia="zh-CN" w:bidi="ar-SA"/>
        </w:rPr>
        <w:t>个工作日内完成项目的供货、安装、调试等相关工作</w:t>
      </w:r>
      <w:r>
        <w:rPr>
          <w:rFonts w:hint="eastAsia" w:ascii="宋体" w:hAnsi="宋体"/>
          <w:sz w:val="24"/>
        </w:rPr>
        <w:t>。</w:t>
      </w:r>
    </w:p>
    <w:p>
      <w:pPr>
        <w:spacing w:line="360" w:lineRule="auto"/>
        <w:ind w:firstLine="480" w:firstLineChars="200"/>
        <w:contextualSpacing/>
        <w:rPr>
          <w:rFonts w:hint="eastAsia" w:ascii="宋体" w:hAnsi="宋体" w:eastAsia="宋体" w:cs="宋体"/>
          <w:bCs/>
          <w:kern w:val="2"/>
          <w:sz w:val="24"/>
          <w:szCs w:val="22"/>
          <w:lang w:val="en-US" w:eastAsia="zh-CN" w:bidi="ar-SA"/>
        </w:rPr>
      </w:pPr>
      <w:r>
        <w:rPr>
          <w:rFonts w:hint="eastAsia" w:ascii="宋体" w:hAnsi="宋体"/>
          <w:sz w:val="24"/>
          <w:lang w:val="en-US" w:eastAsia="zh-CN"/>
        </w:rPr>
        <w:t>2.</w:t>
      </w:r>
      <w:r>
        <w:rPr>
          <w:rFonts w:hint="eastAsia" w:ascii="宋体" w:hAnsi="宋体" w:eastAsia="宋体" w:cs="宋体"/>
          <w:bCs/>
          <w:kern w:val="2"/>
          <w:sz w:val="24"/>
          <w:szCs w:val="22"/>
          <w:lang w:val="en-US" w:eastAsia="zh-CN" w:bidi="ar-SA"/>
        </w:rPr>
        <w:t>交货及安装地点：大邑县人民医院</w:t>
      </w:r>
      <w:r>
        <w:rPr>
          <w:rFonts w:hint="eastAsia" w:ascii="宋体" w:hAnsi="宋体" w:cs="宋体"/>
          <w:bCs/>
          <w:kern w:val="2"/>
          <w:sz w:val="24"/>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3.付款方法和条件：全部货物安装调试完毕，采购人验收合格且成交供应商向采购人出具合法有效完整的完税发票及凭证资料后，采购人收到发票后在</w:t>
      </w:r>
      <w:r>
        <w:rPr>
          <w:rFonts w:hint="eastAsia" w:ascii="宋体" w:hAnsi="宋体" w:cs="宋体"/>
          <w:bCs/>
          <w:kern w:val="2"/>
          <w:sz w:val="24"/>
          <w:szCs w:val="22"/>
          <w:lang w:val="en-US" w:eastAsia="zh-CN" w:bidi="ar-SA"/>
        </w:rPr>
        <w:t>3</w:t>
      </w:r>
      <w:r>
        <w:rPr>
          <w:rFonts w:hint="eastAsia" w:ascii="宋体" w:hAnsi="宋体" w:eastAsia="宋体" w:cs="宋体"/>
          <w:bCs/>
          <w:kern w:val="2"/>
          <w:sz w:val="24"/>
          <w:szCs w:val="22"/>
          <w:lang w:val="en-US" w:eastAsia="zh-CN" w:bidi="ar-SA"/>
        </w:rPr>
        <w:t>0个工作日内向成交供应商支付合同总金额的100%。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eastAsia="宋体" w:cs="宋体"/>
          <w:bCs/>
          <w:kern w:val="2"/>
          <w:sz w:val="24"/>
          <w:szCs w:val="22"/>
          <w:lang w:val="en-US" w:eastAsia="zh-CN" w:bidi="ar-SA"/>
        </w:rPr>
        <w:t>4.安装调试</w:t>
      </w:r>
      <w:r>
        <w:rPr>
          <w:rFonts w:hint="eastAsia" w:ascii="宋体" w:hAnsi="宋体"/>
          <w:sz w:val="24"/>
        </w:rPr>
        <w:t>及运输</w:t>
      </w:r>
      <w:r>
        <w:rPr>
          <w:rFonts w:hint="eastAsia" w:ascii="宋体" w:hAnsi="宋体" w:eastAsia="宋体" w:cs="宋体"/>
          <w:bCs/>
          <w:kern w:val="2"/>
          <w:sz w:val="24"/>
          <w:szCs w:val="22"/>
          <w:lang w:val="en-US" w:eastAsia="zh-CN" w:bidi="ar-SA"/>
        </w:rPr>
        <w:t>：成交供应商负责</w:t>
      </w:r>
      <w:r>
        <w:rPr>
          <w:rFonts w:hint="eastAsia" w:ascii="宋体" w:hAnsi="宋体" w:cs="宋体"/>
          <w:bCs/>
          <w:kern w:val="2"/>
          <w:sz w:val="24"/>
          <w:szCs w:val="22"/>
          <w:lang w:val="en-US" w:eastAsia="zh-CN" w:bidi="ar-SA"/>
        </w:rPr>
        <w:t>家具的</w:t>
      </w:r>
      <w:r>
        <w:rPr>
          <w:rFonts w:hint="eastAsia" w:ascii="宋体" w:hAnsi="宋体" w:eastAsia="宋体" w:cs="宋体"/>
          <w:bCs/>
          <w:kern w:val="2"/>
          <w:sz w:val="24"/>
          <w:szCs w:val="22"/>
          <w:lang w:val="en-US" w:eastAsia="zh-CN" w:bidi="ar-SA"/>
        </w:rPr>
        <w:t>运输、安装、调试。货物到达现场后，成交供应商组织安装、调试，所需的费用包括在总价格中。运输及安装过程中发生任何人员伤亡或财产损失，均由成交供应商负责解决并自行承担全部责任，与采购人无关。</w:t>
      </w:r>
    </w:p>
    <w:p>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质保期</w:t>
      </w:r>
      <w:r>
        <w:rPr>
          <w:rFonts w:hint="eastAsia" w:ascii="宋体" w:hAnsi="宋体"/>
          <w:sz w:val="24"/>
          <w:lang w:eastAsia="zh-CN"/>
        </w:rPr>
        <w:t>：</w:t>
      </w:r>
      <w:r>
        <w:rPr>
          <w:rFonts w:hint="eastAsia" w:ascii="宋体" w:hAnsi="宋体"/>
          <w:sz w:val="24"/>
        </w:rPr>
        <w:t>自产品验收</w:t>
      </w:r>
      <w:r>
        <w:rPr>
          <w:rFonts w:hint="eastAsia" w:ascii="宋体" w:hAnsi="宋体"/>
          <w:sz w:val="24"/>
          <w:lang w:val="en-US" w:eastAsia="zh-CN"/>
        </w:rPr>
        <w:t>合格</w:t>
      </w:r>
      <w:r>
        <w:rPr>
          <w:rFonts w:hint="eastAsia" w:ascii="宋体" w:hAnsi="宋体"/>
          <w:sz w:val="24"/>
        </w:rPr>
        <w:t>起</w:t>
      </w:r>
      <w:r>
        <w:rPr>
          <w:rFonts w:hint="eastAsia" w:ascii="宋体" w:hAnsi="宋体"/>
          <w:sz w:val="24"/>
          <w:lang w:val="en-US" w:eastAsia="zh-CN"/>
        </w:rPr>
        <w:t>两</w:t>
      </w:r>
      <w:r>
        <w:rPr>
          <w:rFonts w:hint="eastAsia" w:ascii="宋体" w:hAnsi="宋体"/>
          <w:sz w:val="24"/>
        </w:rPr>
        <w:t>年，质保期内若非人为原因造成的产品损坏，均由</w:t>
      </w:r>
      <w:r>
        <w:rPr>
          <w:rFonts w:hint="eastAsia" w:ascii="宋体" w:hAnsi="宋体"/>
          <w:sz w:val="24"/>
          <w:lang w:val="en-US" w:eastAsia="zh-CN"/>
        </w:rPr>
        <w:t>成交供应商</w:t>
      </w:r>
      <w:r>
        <w:rPr>
          <w:rFonts w:hint="eastAsia" w:ascii="宋体" w:hAnsi="宋体"/>
          <w:sz w:val="24"/>
        </w:rPr>
        <w:t>进行质保；验收合格后一年内出现产品及安装引起的质量问题需更换整体产品（不含因使用不当或人为损坏），比选人不再单独支付任何费用</w:t>
      </w:r>
      <w:r>
        <w:rPr>
          <w:rFonts w:hint="eastAsia" w:ascii="宋体" w:hAnsi="宋体"/>
          <w:sz w:val="24"/>
          <w:lang w:eastAsia="zh-CN"/>
        </w:rPr>
        <w:t>。</w:t>
      </w:r>
      <w:r>
        <w:rPr>
          <w:rFonts w:hint="eastAsia" w:ascii="宋体" w:hAnsi="宋体" w:eastAsia="宋体" w:cs="宋体"/>
          <w:b/>
          <w:bCs/>
          <w:sz w:val="24"/>
        </w:rPr>
        <w:t>（提供承诺函）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w:t>
      </w:r>
      <w:r>
        <w:rPr>
          <w:rFonts w:hint="eastAsia" w:ascii="宋体" w:hAnsi="宋体" w:eastAsia="宋体" w:cs="宋体"/>
          <w:color w:val="auto"/>
          <w:sz w:val="24"/>
        </w:rPr>
        <w:t>成交供应商</w:t>
      </w:r>
      <w:r>
        <w:rPr>
          <w:rFonts w:hint="eastAsia" w:ascii="宋体" w:hAnsi="宋体" w:eastAsia="宋体" w:cs="宋体"/>
          <w:color w:val="auto"/>
          <w:sz w:val="24"/>
          <w:lang w:val="en-US" w:eastAsia="zh-CN"/>
        </w:rPr>
        <w:t>应保证提供的货物是全新、未使用过的原装合</w:t>
      </w:r>
      <w:r>
        <w:rPr>
          <w:rFonts w:hint="eastAsia" w:ascii="宋体" w:hAnsi="宋体" w:eastAsia="宋体" w:cs="宋体"/>
          <w:sz w:val="24"/>
          <w:lang w:val="en-US" w:eastAsia="zh-CN"/>
        </w:rPr>
        <w:t>格正品，并完全符合生产厂家或国家规定的质量、规格和性能的要求。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kern w:val="44"/>
          <w:sz w:val="24"/>
          <w:szCs w:val="24"/>
          <w:lang w:val="en-US" w:eastAsia="zh-CN" w:bidi="ar-SA"/>
        </w:rPr>
      </w:pPr>
      <w:r>
        <w:rPr>
          <w:rFonts w:hint="eastAsia" w:ascii="Times New Roman" w:hAnsi="Times New Roman" w:eastAsia="宋体" w:cs="Times New Roman"/>
          <w:b/>
          <w:kern w:val="44"/>
          <w:sz w:val="24"/>
          <w:szCs w:val="24"/>
          <w:lang w:val="en-US" w:eastAsia="zh-CN" w:bidi="ar-SA"/>
        </w:rPr>
        <w:t>六、其他要求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kern w:val="2"/>
          <w:sz w:val="24"/>
          <w:szCs w:val="22"/>
          <w:lang w:val="en-US" w:eastAsia="zh-CN" w:bidi="ar-SA"/>
        </w:rPr>
      </w:pPr>
      <w:bookmarkStart w:id="13" w:name="_Toc133163063"/>
      <w:bookmarkStart w:id="14" w:name="_Toc139126583"/>
      <w:bookmarkStart w:id="15" w:name="_Toc133132628"/>
      <w:bookmarkStart w:id="16" w:name="_Toc139126098"/>
      <w:bookmarkStart w:id="17" w:name="_Toc176580050"/>
      <w:bookmarkStart w:id="18" w:name="_Toc139103006"/>
      <w:bookmarkStart w:id="19" w:name="_Toc132535002"/>
      <w:r>
        <w:rPr>
          <w:rFonts w:hint="eastAsia" w:ascii="宋体" w:hAnsi="宋体" w:cs="宋体"/>
          <w:bCs/>
          <w:kern w:val="2"/>
          <w:sz w:val="24"/>
          <w:szCs w:val="22"/>
          <w:lang w:val="en-US" w:eastAsia="zh-CN" w:bidi="ar-SA"/>
        </w:rPr>
        <w:t>1.</w:t>
      </w:r>
      <w:r>
        <w:rPr>
          <w:rFonts w:hint="eastAsia" w:ascii="宋体" w:hAnsi="宋体" w:eastAsia="宋体" w:cs="宋体"/>
          <w:bCs/>
          <w:kern w:val="2"/>
          <w:sz w:val="24"/>
          <w:szCs w:val="22"/>
          <w:lang w:val="en-US" w:eastAsia="zh-CN" w:bidi="ar-SA"/>
        </w:rPr>
        <w:t>本项目评标过程中需提供</w:t>
      </w:r>
      <w:r>
        <w:rPr>
          <w:rFonts w:hint="eastAsia" w:ascii="宋体" w:hAnsi="宋体" w:cs="宋体"/>
          <w:bCs/>
          <w:kern w:val="2"/>
          <w:sz w:val="24"/>
          <w:szCs w:val="22"/>
          <w:lang w:val="en-US" w:eastAsia="zh-CN" w:bidi="ar-SA"/>
        </w:rPr>
        <w:t>清单</w:t>
      </w:r>
      <w:r>
        <w:rPr>
          <w:rFonts w:hint="eastAsia" w:ascii="宋体" w:hAnsi="宋体" w:eastAsia="宋体" w:cs="宋体"/>
          <w:bCs/>
          <w:kern w:val="2"/>
          <w:sz w:val="24"/>
          <w:szCs w:val="22"/>
          <w:lang w:val="en-US" w:eastAsia="zh-CN" w:bidi="ar-SA"/>
        </w:rPr>
        <w:t>样品</w:t>
      </w:r>
      <w:r>
        <w:rPr>
          <w:rFonts w:hint="eastAsia" w:ascii="宋体" w:hAnsi="宋体" w:cs="宋体"/>
          <w:bCs/>
          <w:kern w:val="2"/>
          <w:sz w:val="24"/>
          <w:szCs w:val="22"/>
          <w:lang w:val="en-US" w:eastAsia="zh-CN" w:bidi="ar-SA"/>
        </w:rPr>
        <w:t>各一套，</w:t>
      </w:r>
      <w:r>
        <w:rPr>
          <w:rFonts w:hint="eastAsia" w:ascii="宋体" w:hAnsi="宋体" w:eastAsia="宋体" w:cs="宋体"/>
          <w:bCs/>
          <w:kern w:val="2"/>
          <w:sz w:val="24"/>
          <w:szCs w:val="22"/>
          <w:lang w:val="en-US" w:eastAsia="zh-CN" w:bidi="ar-SA"/>
        </w:rPr>
        <w:t>供应商提供的样品将作为中标后履约验收的参考</w:t>
      </w:r>
      <w:r>
        <w:rPr>
          <w:rFonts w:hint="eastAsia" w:ascii="宋体" w:hAnsi="宋体" w:cs="宋体"/>
          <w:bCs/>
          <w:kern w:val="2"/>
          <w:sz w:val="24"/>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2"/>
          <w:sz w:val="24"/>
          <w:szCs w:val="22"/>
          <w:lang w:val="en-US" w:eastAsia="zh-CN" w:bidi="ar-SA"/>
        </w:rPr>
      </w:pPr>
      <w:r>
        <w:rPr>
          <w:rFonts w:hint="eastAsia" w:ascii="宋体" w:hAnsi="宋体" w:cs="宋体"/>
          <w:bCs/>
          <w:kern w:val="2"/>
          <w:sz w:val="24"/>
          <w:szCs w:val="22"/>
          <w:lang w:val="en-US" w:eastAsia="zh-CN" w:bidi="ar-SA"/>
        </w:rPr>
        <w:t>2.</w:t>
      </w:r>
      <w:r>
        <w:rPr>
          <w:rFonts w:hint="eastAsia" w:ascii="宋体" w:hAnsi="宋体" w:eastAsia="宋体" w:cs="宋体"/>
          <w:bCs/>
          <w:kern w:val="2"/>
          <w:sz w:val="24"/>
          <w:szCs w:val="22"/>
          <w:lang w:val="en-US" w:eastAsia="zh-CN" w:bidi="ar-SA"/>
        </w:rPr>
        <w:t>供应商对提供样品的性能和质量负责，因样品存在缺陷或者不符合招标文件要求导致未能中标的，我方愿意承担相应不利后果。</w:t>
      </w:r>
      <w:r>
        <w:rPr>
          <w:rFonts w:hint="eastAsia" w:ascii="宋体" w:hAnsi="宋体" w:eastAsia="宋体" w:cs="宋体"/>
          <w:b/>
          <w:bCs w:val="0"/>
          <w:kern w:val="2"/>
          <w:sz w:val="24"/>
          <w:szCs w:val="22"/>
          <w:lang w:val="en-US" w:eastAsia="zh-CN" w:bidi="ar-SA"/>
        </w:rPr>
        <w:t>（提供承诺函）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注：中标供应商样品均不退，待供货结束退还，未中标供应商当日招标结束后退还样品。</w:t>
      </w:r>
    </w:p>
    <w:p>
      <w:pPr>
        <w:numPr>
          <w:ilvl w:val="0"/>
          <w:numId w:val="0"/>
        </w:numPr>
        <w:spacing w:line="360" w:lineRule="auto"/>
        <w:contextualSpacing/>
        <w:rPr>
          <w:rFonts w:hint="eastAsia" w:ascii="宋体" w:hAnsi="宋体"/>
          <w:b/>
          <w:sz w:val="24"/>
        </w:rPr>
      </w:pPr>
      <w:r>
        <w:rPr>
          <w:rFonts w:hint="eastAsia" w:ascii="宋体" w:hAnsi="宋体"/>
          <w:b/>
          <w:sz w:val="24"/>
          <w:lang w:val="en-US" w:eastAsia="zh-CN"/>
        </w:rPr>
        <w:t>七、</w:t>
      </w:r>
      <w:r>
        <w:rPr>
          <w:rFonts w:hint="eastAsia" w:ascii="宋体" w:hAnsi="宋体"/>
          <w:b/>
          <w:sz w:val="24"/>
        </w:rPr>
        <w:t>评</w:t>
      </w:r>
      <w:bookmarkEnd w:id="13"/>
      <w:bookmarkEnd w:id="14"/>
      <w:bookmarkEnd w:id="15"/>
      <w:bookmarkEnd w:id="16"/>
      <w:bookmarkEnd w:id="17"/>
      <w:bookmarkEnd w:id="18"/>
      <w:bookmarkEnd w:id="19"/>
      <w:r>
        <w:rPr>
          <w:rFonts w:hint="eastAsia" w:ascii="宋体" w:hAnsi="宋体"/>
          <w:b/>
          <w:sz w:val="24"/>
          <w:lang w:val="en-US" w:eastAsia="zh-CN"/>
        </w:rPr>
        <w:t>分</w:t>
      </w:r>
      <w:r>
        <w:rPr>
          <w:rFonts w:hint="eastAsia" w:ascii="宋体" w:hAnsi="宋体"/>
          <w:b/>
          <w:sz w:val="24"/>
        </w:rPr>
        <w:t>标准</w:t>
      </w:r>
    </w:p>
    <w:tbl>
      <w:tblPr>
        <w:tblStyle w:val="7"/>
        <w:tblW w:w="9656" w:type="dxa"/>
        <w:jc w:val="center"/>
        <w:tblInd w:w="0" w:type="dxa"/>
        <w:tblLayout w:type="fixed"/>
        <w:tblCellMar>
          <w:top w:w="57" w:type="dxa"/>
          <w:left w:w="108" w:type="dxa"/>
          <w:bottom w:w="57" w:type="dxa"/>
          <w:right w:w="108" w:type="dxa"/>
        </w:tblCellMar>
      </w:tblPr>
      <w:tblGrid>
        <w:gridCol w:w="1043"/>
        <w:gridCol w:w="1575"/>
        <w:gridCol w:w="915"/>
        <w:gridCol w:w="6123"/>
      </w:tblGrid>
      <w:tr>
        <w:tblPrEx>
          <w:tblLayout w:type="fixed"/>
          <w:tblCellMar>
            <w:top w:w="57" w:type="dxa"/>
            <w:left w:w="108" w:type="dxa"/>
            <w:bottom w:w="57" w:type="dxa"/>
            <w:right w:w="108" w:type="dxa"/>
          </w:tblCellMar>
        </w:tblPrEx>
        <w:trPr>
          <w:trHeight w:val="541"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评分项目</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分值</w:t>
            </w:r>
          </w:p>
        </w:tc>
        <w:tc>
          <w:tcPr>
            <w:tcW w:w="61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评分标准</w:t>
            </w:r>
          </w:p>
        </w:tc>
      </w:tr>
      <w:tr>
        <w:tblPrEx>
          <w:tblLayout w:type="fixed"/>
          <w:tblCellMar>
            <w:top w:w="57" w:type="dxa"/>
            <w:left w:w="108" w:type="dxa"/>
            <w:bottom w:w="57" w:type="dxa"/>
            <w:right w:w="108" w:type="dxa"/>
          </w:tblCellMar>
        </w:tblPrEx>
        <w:trPr>
          <w:trHeight w:val="683" w:hRule="atLeast"/>
          <w:jc w:val="center"/>
        </w:trPr>
        <w:tc>
          <w:tcPr>
            <w:tcW w:w="10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报价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30分</w:t>
            </w:r>
          </w:p>
        </w:tc>
        <w:tc>
          <w:tcPr>
            <w:tcW w:w="6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kern w:val="0"/>
                <w:sz w:val="21"/>
                <w:szCs w:val="21"/>
                <w:lang w:val="en-US"/>
              </w:rPr>
            </w:pPr>
            <w:r>
              <w:rPr>
                <w:rFonts w:hint="eastAsia" w:ascii="宋体" w:hAnsi="宋体" w:eastAsia="宋体" w:cs="宋体"/>
                <w:color w:val="000000"/>
                <w:kern w:val="0"/>
                <w:sz w:val="21"/>
                <w:szCs w:val="21"/>
                <w:lang w:val="en-US" w:eastAsia="zh-CN"/>
              </w:rPr>
              <w:t>以本次最低有效投标报价为基准价，投标报价得分=(基准价／投标报价)*</w:t>
            </w:r>
            <w:r>
              <w:rPr>
                <w:rFonts w:hint="eastAsia" w:ascii="宋体" w:hAnsi="宋体" w:cs="宋体"/>
                <w:color w:val="000000"/>
                <w:kern w:val="0"/>
                <w:sz w:val="21"/>
                <w:szCs w:val="21"/>
                <w:lang w:val="en-US" w:eastAsia="zh-CN"/>
              </w:rPr>
              <w:t>30</w:t>
            </w:r>
          </w:p>
        </w:tc>
      </w:tr>
      <w:tr>
        <w:tblPrEx>
          <w:tblLayout w:type="fixed"/>
          <w:tblCellMar>
            <w:top w:w="57" w:type="dxa"/>
            <w:left w:w="108" w:type="dxa"/>
            <w:bottom w:w="57" w:type="dxa"/>
            <w:right w:w="108" w:type="dxa"/>
          </w:tblCellMar>
        </w:tblPrEx>
        <w:trPr>
          <w:trHeight w:val="90"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产品技术参数及要求</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20分</w:t>
            </w:r>
          </w:p>
        </w:tc>
        <w:tc>
          <w:tcPr>
            <w:tcW w:w="61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1、供应商针对响应文件中“技术、服务要求”对应的一般参数条款（一般参数条款是指</w:t>
            </w:r>
            <w:r>
              <w:rPr>
                <w:rFonts w:hint="eastAsia" w:ascii="宋体" w:hAnsi="宋体" w:eastAsia="宋体" w:cs="宋体"/>
                <w:b/>
                <w:bCs/>
                <w:color w:val="000000"/>
                <w:kern w:val="0"/>
                <w:sz w:val="21"/>
                <w:szCs w:val="21"/>
                <w:lang w:val="en-US" w:eastAsia="zh-CN"/>
              </w:rPr>
              <w:t>未标注</w:t>
            </w:r>
            <w:r>
              <w:rPr>
                <w:rFonts w:hint="eastAsia" w:ascii="宋体" w:hAnsi="宋体" w:eastAsia="宋体" w:cs="宋体"/>
                <w:color w:val="000000"/>
                <w:kern w:val="0"/>
                <w:sz w:val="21"/>
                <w:szCs w:val="21"/>
                <w:lang w:val="en-US" w:eastAsia="zh-CN"/>
              </w:rPr>
              <w:t>“▲”的条款）的响应得分规则如下：合计：</w:t>
            </w:r>
            <w:r>
              <w:rPr>
                <w:rFonts w:hint="eastAsia" w:ascii="宋体" w:hAnsi="宋体" w:cs="宋体"/>
                <w:color w:val="auto"/>
                <w:kern w:val="0"/>
                <w:sz w:val="21"/>
                <w:szCs w:val="21"/>
                <w:lang w:val="en-US" w:eastAsia="zh-CN"/>
              </w:rPr>
              <w:t>5</w:t>
            </w:r>
            <w:r>
              <w:rPr>
                <w:rFonts w:hint="eastAsia" w:ascii="宋体" w:hAnsi="宋体" w:eastAsia="宋体" w:cs="宋体"/>
                <w:color w:val="000000"/>
                <w:kern w:val="0"/>
                <w:sz w:val="21"/>
                <w:szCs w:val="21"/>
                <w:lang w:val="en-US" w:eastAsia="zh-CN"/>
              </w:rPr>
              <w:t>条，完全满足得5分，有一项不符合要求的扣</w:t>
            </w:r>
            <w:r>
              <w:rPr>
                <w:rFonts w:hint="eastAsia" w:ascii="宋体" w:hAnsi="宋体" w:cs="宋体"/>
                <w:color w:val="auto"/>
                <w:kern w:val="0"/>
                <w:sz w:val="21"/>
                <w:szCs w:val="21"/>
                <w:lang w:val="en-US" w:eastAsia="zh-CN"/>
              </w:rPr>
              <w:t>1</w:t>
            </w:r>
            <w:r>
              <w:rPr>
                <w:rFonts w:hint="eastAsia" w:ascii="宋体" w:hAnsi="宋体" w:eastAsia="宋体" w:cs="宋体"/>
                <w:color w:val="000000"/>
                <w:kern w:val="0"/>
                <w:sz w:val="21"/>
                <w:szCs w:val="21"/>
                <w:lang w:val="en-US" w:eastAsia="zh-CN"/>
              </w:rPr>
              <w:t>分，扣完为止。</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2、供应商针对响应文件“技术、服务要求”对应的重要性参数条款（重要性参数条款指</w:t>
            </w:r>
            <w:r>
              <w:rPr>
                <w:rFonts w:hint="eastAsia" w:ascii="宋体" w:hAnsi="宋体" w:eastAsia="宋体" w:cs="宋体"/>
                <w:b/>
                <w:bCs/>
                <w:color w:val="000000"/>
                <w:kern w:val="0"/>
                <w:sz w:val="21"/>
                <w:szCs w:val="21"/>
                <w:lang w:val="en-US" w:eastAsia="zh-CN"/>
              </w:rPr>
              <w:t>标注</w:t>
            </w:r>
            <w:r>
              <w:rPr>
                <w:rFonts w:hint="eastAsia" w:ascii="宋体" w:hAnsi="宋体" w:eastAsia="宋体" w:cs="宋体"/>
                <w:color w:val="000000"/>
                <w:kern w:val="0"/>
                <w:sz w:val="21"/>
                <w:szCs w:val="21"/>
                <w:lang w:val="en-US" w:eastAsia="zh-CN"/>
              </w:rPr>
              <w:t>“▲”的条款）的响应得分规则如下：合计：</w:t>
            </w:r>
            <w:r>
              <w:rPr>
                <w:rFonts w:hint="eastAsia" w:ascii="宋体" w:hAnsi="宋体" w:eastAsia="宋体" w:cs="宋体"/>
                <w:color w:val="auto"/>
                <w:kern w:val="0"/>
                <w:sz w:val="21"/>
                <w:szCs w:val="21"/>
                <w:lang w:val="en-US" w:eastAsia="zh-CN"/>
              </w:rPr>
              <w:t>10</w:t>
            </w:r>
            <w:r>
              <w:rPr>
                <w:rFonts w:hint="eastAsia" w:ascii="宋体" w:hAnsi="宋体" w:eastAsia="宋体" w:cs="宋体"/>
                <w:color w:val="000000"/>
                <w:kern w:val="0"/>
                <w:sz w:val="21"/>
                <w:szCs w:val="21"/>
                <w:lang w:val="en-US" w:eastAsia="zh-CN"/>
              </w:rPr>
              <w:t>条，完全满足得15分，有一项不符合要求的扣1.5分，扣完为止。）</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①比选文件“重要性参数条款指标注“▲”的条款”需提供相应的证明材料进行佐证的，若提供非有效证明材料或未提供均视为负偏离。</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②招标文件“技术要求”中数字编号（例如1,2,3等）分别视为单条参数。</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③中标人在履约交货时，如有产品存在提供虚假承诺或虚假材料谋取中标的，采购人有权终止采购合同。</w:t>
            </w:r>
          </w:p>
        </w:tc>
      </w:tr>
      <w:tr>
        <w:tblPrEx>
          <w:tblLayout w:type="fixed"/>
          <w:tblCellMar>
            <w:top w:w="57" w:type="dxa"/>
            <w:left w:w="108" w:type="dxa"/>
            <w:bottom w:w="57" w:type="dxa"/>
            <w:right w:w="108" w:type="dxa"/>
          </w:tblCellMar>
        </w:tblPrEx>
        <w:trPr>
          <w:trHeight w:val="119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投标人综合实力</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17</w:t>
            </w:r>
            <w:r>
              <w:rPr>
                <w:rFonts w:hint="eastAsia" w:ascii="宋体" w:hAnsi="宋体" w:eastAsia="宋体" w:cs="宋体"/>
                <w:color w:val="000000"/>
                <w:kern w:val="0"/>
                <w:sz w:val="21"/>
                <w:szCs w:val="21"/>
                <w:lang w:val="en-US" w:eastAsia="zh-CN"/>
              </w:rPr>
              <w:t>分</w:t>
            </w:r>
          </w:p>
        </w:tc>
        <w:tc>
          <w:tcPr>
            <w:tcW w:w="61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投标人或投标产品生产厂商具有国家认可的专业认证机构颁发的质量管理体系认证证书，认证范围包含但不限于：办公桌椅、储物柜、资料柜、等候椅、沙发、钢木医用家具的设计、生产、销售及售后，得</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分，缺少任意项的，得0分。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投标人或投标产品生产厂商具有国家认可的专业认证机构颁发的健康产品认证证书，认证范围包含但不限于：办公桌椅、储物柜、资料柜、等候椅、沙发、钢木医用家具的设计、生产、销售及售后，得</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分，缺少任意项的，得0分。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投标人或投标产品生产厂商具有国家认可的专业认证机构颁发中国环保产品认证证书，认证内容包括：木制办公家具、金属公共场所家具、木制医用家具、钢制柜（包括架）、沙发，得</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 xml:space="preserve">分，缺少任意项的，得0分。 </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投标人或投标产品生产厂商具有国家认可的专业认证机构颁发的</w:t>
            </w:r>
            <w:r>
              <w:rPr>
                <w:rFonts w:hint="eastAsia" w:ascii="宋体" w:hAnsi="宋体" w:eastAsia="宋体" w:cs="宋体"/>
                <w:color w:val="auto"/>
                <w:kern w:val="0"/>
                <w:sz w:val="21"/>
                <w:szCs w:val="21"/>
                <w:lang w:val="en-US" w:eastAsia="zh-CN"/>
              </w:rPr>
              <w:t>绿色供应链评价证书的，得2分。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投标人或投标产品生产厂商具有国家认可的专业认证机构颁发的</w:t>
            </w:r>
            <w:r>
              <w:rPr>
                <w:rFonts w:hint="eastAsia" w:ascii="宋体" w:hAnsi="宋体" w:cs="宋体"/>
                <w:color w:val="auto"/>
                <w:kern w:val="0"/>
                <w:sz w:val="21"/>
                <w:szCs w:val="21"/>
                <w:lang w:val="en-US" w:eastAsia="zh-CN"/>
              </w:rPr>
              <w:t>医疗器械质量管理体系</w:t>
            </w:r>
            <w:r>
              <w:rPr>
                <w:rFonts w:hint="eastAsia" w:ascii="宋体" w:hAnsi="宋体" w:eastAsia="宋体" w:cs="宋体"/>
                <w:color w:val="auto"/>
                <w:kern w:val="0"/>
                <w:sz w:val="21"/>
                <w:szCs w:val="21"/>
                <w:lang w:val="en-US" w:eastAsia="zh-CN"/>
              </w:rPr>
              <w:t>认证证书，认证范围包含但不限于：</w:t>
            </w:r>
            <w:r>
              <w:rPr>
                <w:rFonts w:hint="eastAsia" w:ascii="宋体" w:hAnsi="宋体" w:cs="宋体"/>
                <w:color w:val="auto"/>
                <w:kern w:val="0"/>
                <w:sz w:val="21"/>
                <w:szCs w:val="21"/>
                <w:lang w:val="en-US" w:eastAsia="zh-CN"/>
              </w:rPr>
              <w:t>检查床、候诊椅等</w:t>
            </w:r>
            <w:r>
              <w:rPr>
                <w:rFonts w:hint="eastAsia" w:ascii="宋体" w:hAnsi="宋体" w:eastAsia="宋体" w:cs="宋体"/>
                <w:color w:val="auto"/>
                <w:kern w:val="0"/>
                <w:sz w:val="21"/>
                <w:szCs w:val="21"/>
                <w:lang w:val="en-US" w:eastAsia="zh-CN"/>
              </w:rPr>
              <w:t xml:space="preserve">，得2分，缺少任意项的，得0分。 </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lang w:val="en-US" w:eastAsia="zh-CN"/>
              </w:rPr>
              <w:t>投标人或投标产品生产厂商具有有效期内的国家安全生产监督行政主管部门颁发或监制的安全生产标准化证书，得2分。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en-US" w:eastAsia="zh-CN"/>
              </w:rPr>
              <w:t>投标人或投标产品生产厂商具有国家认可的专业认证机构颁发的企业</w:t>
            </w:r>
            <w:r>
              <w:rPr>
                <w:rFonts w:hint="eastAsia" w:ascii="宋体" w:hAnsi="宋体" w:cs="宋体"/>
                <w:color w:val="auto"/>
                <w:kern w:val="0"/>
                <w:sz w:val="21"/>
                <w:szCs w:val="21"/>
                <w:lang w:val="en-US" w:eastAsia="zh-CN"/>
              </w:rPr>
              <w:t>诚信管理体系</w:t>
            </w:r>
            <w:r>
              <w:rPr>
                <w:rFonts w:hint="eastAsia" w:ascii="宋体" w:hAnsi="宋体" w:eastAsia="宋体" w:cs="宋体"/>
                <w:color w:val="auto"/>
                <w:kern w:val="0"/>
                <w:sz w:val="21"/>
                <w:szCs w:val="21"/>
                <w:lang w:val="en-US" w:eastAsia="zh-CN"/>
              </w:rPr>
              <w:t>认证证书，认证范围包含但不限于：</w:t>
            </w:r>
            <w:r>
              <w:rPr>
                <w:rFonts w:hint="eastAsia" w:ascii="宋体" w:hAnsi="宋体" w:cs="宋体"/>
                <w:color w:val="auto"/>
                <w:kern w:val="0"/>
                <w:sz w:val="21"/>
                <w:szCs w:val="21"/>
                <w:lang w:val="en-US" w:eastAsia="zh-CN"/>
              </w:rPr>
              <w:t>会议桌、</w:t>
            </w:r>
            <w:r>
              <w:rPr>
                <w:rFonts w:hint="eastAsia" w:ascii="宋体" w:hAnsi="宋体" w:eastAsia="宋体" w:cs="宋体"/>
                <w:color w:val="auto"/>
                <w:kern w:val="0"/>
                <w:sz w:val="21"/>
                <w:szCs w:val="21"/>
                <w:lang w:val="en-US" w:eastAsia="zh-CN"/>
              </w:rPr>
              <w:t>等候椅</w:t>
            </w:r>
            <w:r>
              <w:rPr>
                <w:rFonts w:hint="eastAsia" w:ascii="宋体" w:hAnsi="宋体" w:cs="宋体"/>
                <w:color w:val="auto"/>
                <w:kern w:val="0"/>
                <w:sz w:val="21"/>
                <w:szCs w:val="21"/>
                <w:lang w:val="en-US" w:eastAsia="zh-CN"/>
              </w:rPr>
              <w:t>、床、金属医用家具、软体家具</w:t>
            </w:r>
            <w:r>
              <w:rPr>
                <w:rFonts w:hint="eastAsia" w:ascii="宋体" w:hAnsi="宋体" w:eastAsia="宋体" w:cs="宋体"/>
                <w:color w:val="auto"/>
                <w:kern w:val="0"/>
                <w:sz w:val="21"/>
                <w:szCs w:val="21"/>
                <w:lang w:val="en-US" w:eastAsia="zh-CN"/>
              </w:rPr>
              <w:t>的设计、生产、销售和服务，得</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lang w:val="en-US" w:eastAsia="zh-CN"/>
              </w:rPr>
              <w:t>分，缺少任意项的，得0分。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lang w:val="en-US" w:eastAsia="zh-CN"/>
              </w:rPr>
              <w:t>投标人或投标产品生产厂商具有国家认可的专业认证机构颁发的CTS CICC S03-2019品质验证认证证书，认证范围包含但不限于：办公椅、沙发、双层床、钢制衣柜、等候椅的设计、生产、销售及售后服务，得2分，缺少任意项的，得0分。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auto"/>
                <w:kern w:val="0"/>
                <w:sz w:val="21"/>
                <w:szCs w:val="21"/>
                <w:lang w:val="en-US" w:eastAsia="zh-CN"/>
              </w:rPr>
              <w:t>（说明：1、提供有效证书复印件。2、认</w:t>
            </w:r>
            <w:r>
              <w:rPr>
                <w:rFonts w:hint="eastAsia" w:ascii="宋体" w:hAnsi="宋体" w:eastAsia="宋体" w:cs="宋体"/>
                <w:color w:val="000000"/>
                <w:kern w:val="0"/>
                <w:sz w:val="21"/>
                <w:szCs w:val="21"/>
                <w:lang w:val="en-US" w:eastAsia="zh-CN"/>
              </w:rPr>
              <w:t>证范围或适用范围可与上述名称不一致，但须经评标委员会认定属于上述范畴方能得分。）</w:t>
            </w:r>
          </w:p>
        </w:tc>
      </w:tr>
      <w:tr>
        <w:tblPrEx>
          <w:tblLayout w:type="fixed"/>
          <w:tblCellMar>
            <w:top w:w="57" w:type="dxa"/>
            <w:left w:w="108" w:type="dxa"/>
            <w:bottom w:w="57" w:type="dxa"/>
            <w:right w:w="108" w:type="dxa"/>
          </w:tblCellMar>
        </w:tblPrEx>
        <w:trPr>
          <w:trHeight w:val="4212"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售后服务</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w:t>
            </w:r>
            <w:r>
              <w:rPr>
                <w:rFonts w:hint="eastAsia" w:ascii="宋体" w:hAnsi="宋体" w:eastAsia="宋体" w:cs="宋体"/>
                <w:color w:val="000000"/>
                <w:kern w:val="0"/>
                <w:sz w:val="21"/>
                <w:szCs w:val="21"/>
                <w:lang w:val="en-US" w:eastAsia="zh-CN"/>
              </w:rPr>
              <w:t>分</w:t>
            </w:r>
          </w:p>
        </w:tc>
        <w:tc>
          <w:tcPr>
            <w:tcW w:w="6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1、投标人提供为本项目拟定针对本项目售后服务方案，包括但不限于以下内容:</w:t>
            </w:r>
            <w:r>
              <w:rPr>
                <w:rFonts w:hint="eastAsia" w:ascii="宋体" w:hAnsi="宋体" w:cs="宋体"/>
                <w:color w:val="000000"/>
                <w:kern w:val="0"/>
                <w:sz w:val="21"/>
                <w:szCs w:val="21"/>
                <w:lang w:val="en-US" w:eastAsia="zh-CN"/>
              </w:rPr>
              <w:fldChar w:fldCharType="begin"/>
            </w:r>
            <w:r>
              <w:rPr>
                <w:rFonts w:hint="eastAsia" w:ascii="宋体" w:hAnsi="宋体" w:cs="宋体"/>
                <w:color w:val="000000"/>
                <w:kern w:val="0"/>
                <w:sz w:val="21"/>
                <w:szCs w:val="21"/>
                <w:lang w:val="en-US" w:eastAsia="zh-CN"/>
              </w:rPr>
              <w:instrText xml:space="preserve"> = 1 \* GB3 </w:instrText>
            </w:r>
            <w:r>
              <w:rPr>
                <w:rFonts w:hint="eastAsia" w:ascii="宋体" w:hAnsi="宋体" w:cs="宋体"/>
                <w:color w:val="000000"/>
                <w:kern w:val="0"/>
                <w:sz w:val="21"/>
                <w:szCs w:val="21"/>
                <w:lang w:val="en-US" w:eastAsia="zh-CN"/>
              </w:rPr>
              <w:fldChar w:fldCharType="separate"/>
            </w:r>
            <w:r>
              <w:rPr>
                <w:rFonts w:hint="eastAsia" w:ascii="宋体" w:hAnsi="宋体" w:cs="宋体"/>
                <w:color w:val="000000"/>
                <w:kern w:val="0"/>
                <w:sz w:val="21"/>
                <w:szCs w:val="21"/>
                <w:lang w:val="en-US" w:eastAsia="zh-CN"/>
              </w:rPr>
              <w:t>①</w:t>
            </w:r>
            <w:r>
              <w:rPr>
                <w:rFonts w:hint="eastAsia" w:ascii="宋体" w:hAnsi="宋体" w:cs="宋体"/>
                <w:color w:val="000000"/>
                <w:kern w:val="0"/>
                <w:sz w:val="21"/>
                <w:szCs w:val="21"/>
                <w:lang w:val="en-US" w:eastAsia="zh-CN"/>
              </w:rPr>
              <w:fldChar w:fldCharType="end"/>
            </w:r>
            <w:r>
              <w:rPr>
                <w:rFonts w:hint="eastAsia" w:ascii="宋体" w:hAnsi="宋体" w:cs="宋体"/>
                <w:color w:val="000000"/>
                <w:kern w:val="0"/>
                <w:sz w:val="21"/>
                <w:szCs w:val="21"/>
                <w:lang w:val="en-US" w:eastAsia="zh-CN"/>
              </w:rPr>
              <w:t>提供在本地的售后团队或机构(提供营业执照和售后服务协议（合同）证明材料)， ②提供不少于3名售后服务专职人员及售后服务联系电话，③售后服务响应时间、④售后服务保障措施、⑤备品备件及后续服务费用等内容进行综合评分；项目售后服务方案完整的得10分，每有一项缺项扣2分，内容存在错误或缺陷的每有一处扣1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注∶ 内容存在错误或缺陷是指内容脱离项目实际情况或不符合项目特点或内容存在逻辑错误或项目名称、实施地点、涉及的规范、技术服务标准要求与本项目不一致等情形。</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2、投标人或投标产品生产厂家具有国家认可的专业认证机构颁发的有效期内符合CTEAS 1001-2017《CTEAS售后服务体系完善程度认证评价规范》的等级证书，达到7星级，得3分，5星级及以下，得1分，未提供不得分。</w:t>
            </w:r>
          </w:p>
        </w:tc>
      </w:tr>
      <w:tr>
        <w:tblPrEx>
          <w:tblLayout w:type="fixed"/>
          <w:tblCellMar>
            <w:top w:w="57" w:type="dxa"/>
            <w:left w:w="108" w:type="dxa"/>
            <w:bottom w:w="57" w:type="dxa"/>
            <w:right w:w="108" w:type="dxa"/>
          </w:tblCellMar>
        </w:tblPrEx>
        <w:trPr>
          <w:trHeight w:val="1488" w:hRule="atLeast"/>
          <w:jc w:val="center"/>
        </w:trPr>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样品</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w:t>
            </w:r>
            <w:r>
              <w:rPr>
                <w:rFonts w:hint="eastAsia" w:ascii="宋体" w:hAnsi="宋体" w:eastAsia="宋体" w:cs="宋体"/>
                <w:color w:val="000000"/>
                <w:kern w:val="0"/>
                <w:sz w:val="21"/>
                <w:szCs w:val="21"/>
                <w:lang w:val="en-US" w:eastAsia="zh-CN"/>
              </w:rPr>
              <w:t>分</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提</w:t>
            </w:r>
            <w:r>
              <w:rPr>
                <w:rFonts w:hint="eastAsia" w:ascii="宋体" w:hAnsi="宋体" w:eastAsia="宋体" w:cs="宋体"/>
                <w:color w:val="000000"/>
                <w:kern w:val="0"/>
                <w:szCs w:val="21"/>
                <w:lang w:val="en-US" w:eastAsia="zh-CN"/>
              </w:rPr>
              <w:t>供</w:t>
            </w:r>
            <w:r>
              <w:rPr>
                <w:rFonts w:hint="eastAsia" w:ascii="宋体" w:hAnsi="宋体" w:cs="宋体"/>
                <w:b w:val="0"/>
                <w:bCs w:val="0"/>
                <w:color w:val="000000"/>
                <w:kern w:val="0"/>
                <w:sz w:val="21"/>
                <w:szCs w:val="21"/>
                <w:lang w:val="en-US" w:eastAsia="zh-CN"/>
              </w:rPr>
              <w:t>清单</w:t>
            </w:r>
            <w:r>
              <w:rPr>
                <w:rFonts w:hint="eastAsia" w:ascii="宋体" w:hAnsi="宋体" w:eastAsia="宋体" w:cs="宋体"/>
                <w:color w:val="000000"/>
                <w:kern w:val="0"/>
                <w:szCs w:val="21"/>
                <w:lang w:val="en-US" w:eastAsia="zh-CN"/>
              </w:rPr>
              <w:t>实物样品，按成品款式、规格、材质、工艺等要求进行综合评分，优秀得</w:t>
            </w:r>
            <w:r>
              <w:rPr>
                <w:rFonts w:hint="eastAsia" w:ascii="宋体" w:hAnsi="宋体" w:cs="宋体"/>
                <w:color w:val="000000"/>
                <w:kern w:val="0"/>
                <w:szCs w:val="21"/>
                <w:lang w:val="en-US" w:eastAsia="zh-CN"/>
              </w:rPr>
              <w:t>15-20</w:t>
            </w:r>
            <w:r>
              <w:rPr>
                <w:rFonts w:hint="eastAsia" w:ascii="宋体" w:hAnsi="宋体" w:eastAsia="宋体" w:cs="宋体"/>
                <w:color w:val="000000"/>
                <w:kern w:val="0"/>
                <w:szCs w:val="21"/>
                <w:lang w:val="en-US" w:eastAsia="zh-CN"/>
              </w:rPr>
              <w:t>分，良好得</w:t>
            </w:r>
            <w:r>
              <w:rPr>
                <w:rFonts w:hint="eastAsia" w:ascii="宋体" w:hAnsi="宋体" w:cs="宋体"/>
                <w:color w:val="000000"/>
                <w:kern w:val="0"/>
                <w:szCs w:val="21"/>
                <w:lang w:val="en-US" w:eastAsia="zh-CN"/>
              </w:rPr>
              <w:t>10</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14</w:t>
            </w:r>
            <w:r>
              <w:rPr>
                <w:rFonts w:hint="eastAsia" w:ascii="宋体" w:hAnsi="宋体" w:eastAsia="宋体" w:cs="宋体"/>
                <w:color w:val="000000"/>
                <w:kern w:val="0"/>
                <w:szCs w:val="21"/>
                <w:lang w:val="en-US" w:eastAsia="zh-CN"/>
              </w:rPr>
              <w:t>分，一般得1-</w:t>
            </w:r>
            <w:r>
              <w:rPr>
                <w:rFonts w:hint="eastAsia" w:ascii="宋体" w:hAnsi="宋体" w:cs="宋体"/>
                <w:color w:val="000000"/>
                <w:kern w:val="0"/>
                <w:szCs w:val="21"/>
                <w:lang w:val="en-US" w:eastAsia="zh-CN"/>
              </w:rPr>
              <w:t>9</w:t>
            </w:r>
            <w:r>
              <w:rPr>
                <w:rFonts w:hint="eastAsia" w:ascii="宋体" w:hAnsi="宋体" w:eastAsia="宋体" w:cs="宋体"/>
                <w:color w:val="000000"/>
                <w:kern w:val="0"/>
                <w:szCs w:val="21"/>
                <w:lang w:val="en-US" w:eastAsia="zh-CN"/>
              </w:rPr>
              <w:t>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Cs w:val="21"/>
                <w:lang w:val="en-US" w:eastAsia="zh-CN"/>
              </w:rPr>
              <w:t>注：投标人未提供样品的、未按要</w:t>
            </w:r>
            <w:r>
              <w:rPr>
                <w:rFonts w:hint="eastAsia" w:ascii="宋体" w:hAnsi="宋体" w:eastAsia="宋体" w:cs="宋体"/>
                <w:color w:val="000000"/>
                <w:kern w:val="0"/>
                <w:sz w:val="21"/>
                <w:szCs w:val="21"/>
                <w:lang w:val="en-US" w:eastAsia="zh-CN"/>
              </w:rPr>
              <w:t>求提供样品、样品数量不齐的，样品分为零分。</w:t>
            </w: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Style w:val="12"/>
          <w:rFonts w:hint="eastAsia" w:hAnsi="宋体"/>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Style w:val="12"/>
          <w:rFonts w:hint="eastAsia" w:hAnsi="宋体"/>
          <w:b/>
          <w:bCs/>
          <w:kern w:val="0"/>
          <w:sz w:val="24"/>
          <w:szCs w:val="24"/>
        </w:rPr>
      </w:pPr>
      <w:r>
        <w:rPr>
          <w:rStyle w:val="12"/>
          <w:rFonts w:hint="eastAsia" w:hAnsi="宋体"/>
          <w:b/>
          <w:bCs/>
          <w:kern w:val="0"/>
          <w:sz w:val="24"/>
          <w:szCs w:val="24"/>
          <w:lang w:val="en-US" w:eastAsia="zh-CN"/>
        </w:rPr>
        <w:t>备注</w:t>
      </w:r>
      <w:r>
        <w:rPr>
          <w:rStyle w:val="12"/>
          <w:rFonts w:hint="eastAsia" w:hAnsi="宋体"/>
          <w:b/>
          <w:bCs/>
          <w:kern w:val="0"/>
          <w:sz w:val="24"/>
          <w:szCs w:val="24"/>
          <w:lang w:eastAsia="zh-CN"/>
        </w:rPr>
        <w:t>：本项目</w:t>
      </w:r>
      <w:r>
        <w:rPr>
          <w:rStyle w:val="12"/>
          <w:rFonts w:hint="eastAsia" w:hAnsi="宋体"/>
          <w:b/>
          <w:bCs/>
          <w:kern w:val="0"/>
          <w:sz w:val="24"/>
          <w:szCs w:val="24"/>
        </w:rPr>
        <w:t>带“★”的需求为实质性要求，供应商必须响应并满足</w:t>
      </w:r>
      <w:r>
        <w:rPr>
          <w:rStyle w:val="12"/>
          <w:rFonts w:hint="eastAsia" w:hAnsi="宋体"/>
          <w:b/>
          <w:bCs/>
          <w:kern w:val="0"/>
          <w:sz w:val="24"/>
          <w:szCs w:val="24"/>
          <w:lang w:eastAsia="zh-CN"/>
        </w:rPr>
        <w:t>；</w:t>
      </w:r>
      <w:r>
        <w:rPr>
          <w:rStyle w:val="12"/>
          <w:rFonts w:hint="eastAsia" w:hAnsi="宋体"/>
          <w:b/>
          <w:bCs/>
          <w:kern w:val="0"/>
          <w:sz w:val="24"/>
          <w:szCs w:val="24"/>
          <w:lang w:val="en-US" w:eastAsia="zh-CN"/>
        </w:rPr>
        <w:t>带“▲”的为重要性参数条款，需提供相应的证明材料进行佐证</w:t>
      </w:r>
      <w:r>
        <w:rPr>
          <w:rStyle w:val="12"/>
          <w:rFonts w:hint="eastAsia" w:hAnsi="宋体"/>
          <w:b/>
          <w:bCs/>
          <w:kern w:val="0"/>
          <w:sz w:val="24"/>
          <w:szCs w:val="24"/>
          <w:lang w:eastAsia="zh-CN"/>
        </w:rPr>
        <w:t>。</w:t>
      </w:r>
    </w:p>
    <w:p/>
    <w:sectPr>
      <w:footerReference r:id="rId3" w:type="default"/>
      <w:pgSz w:w="11906" w:h="16838"/>
      <w:pgMar w:top="1134" w:right="1417" w:bottom="113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000000"/>
    <w:rsid w:val="025E5557"/>
    <w:rsid w:val="035775A4"/>
    <w:rsid w:val="037641C2"/>
    <w:rsid w:val="03C174D4"/>
    <w:rsid w:val="04D60EDF"/>
    <w:rsid w:val="05287F4F"/>
    <w:rsid w:val="0534300A"/>
    <w:rsid w:val="0556456F"/>
    <w:rsid w:val="06B34EAF"/>
    <w:rsid w:val="07197CAC"/>
    <w:rsid w:val="07520FAC"/>
    <w:rsid w:val="08A855EF"/>
    <w:rsid w:val="08CC2AE7"/>
    <w:rsid w:val="08D15B0B"/>
    <w:rsid w:val="09CD7B7C"/>
    <w:rsid w:val="09DE408F"/>
    <w:rsid w:val="09F74012"/>
    <w:rsid w:val="0A726602"/>
    <w:rsid w:val="0A772DA1"/>
    <w:rsid w:val="0BC45137"/>
    <w:rsid w:val="0BDB1A65"/>
    <w:rsid w:val="0C320657"/>
    <w:rsid w:val="0C4B5677"/>
    <w:rsid w:val="0CB35177"/>
    <w:rsid w:val="0E340F48"/>
    <w:rsid w:val="0E515382"/>
    <w:rsid w:val="0F814D30"/>
    <w:rsid w:val="0FA15BBB"/>
    <w:rsid w:val="0FC94CBC"/>
    <w:rsid w:val="10C44E3B"/>
    <w:rsid w:val="11854CF5"/>
    <w:rsid w:val="11C0632C"/>
    <w:rsid w:val="11D4103B"/>
    <w:rsid w:val="129D07A7"/>
    <w:rsid w:val="12B66E29"/>
    <w:rsid w:val="12B9137D"/>
    <w:rsid w:val="12E3630B"/>
    <w:rsid w:val="130F60C4"/>
    <w:rsid w:val="131E6BF8"/>
    <w:rsid w:val="135F0A8A"/>
    <w:rsid w:val="14776E01"/>
    <w:rsid w:val="14E60E98"/>
    <w:rsid w:val="14F542D1"/>
    <w:rsid w:val="15F41ACB"/>
    <w:rsid w:val="188663D0"/>
    <w:rsid w:val="18927E32"/>
    <w:rsid w:val="19DD0A2E"/>
    <w:rsid w:val="1AC26572"/>
    <w:rsid w:val="1ACA7BE4"/>
    <w:rsid w:val="1AEF5B46"/>
    <w:rsid w:val="1B0F591A"/>
    <w:rsid w:val="1B230902"/>
    <w:rsid w:val="1C825C73"/>
    <w:rsid w:val="1D751F22"/>
    <w:rsid w:val="1E0A59F2"/>
    <w:rsid w:val="1E3C2878"/>
    <w:rsid w:val="1E865218"/>
    <w:rsid w:val="1F4B1798"/>
    <w:rsid w:val="1F502E22"/>
    <w:rsid w:val="1F8212E6"/>
    <w:rsid w:val="1F835016"/>
    <w:rsid w:val="1F8C51D4"/>
    <w:rsid w:val="1FBC3C0C"/>
    <w:rsid w:val="2083739A"/>
    <w:rsid w:val="20BA4167"/>
    <w:rsid w:val="20E50D46"/>
    <w:rsid w:val="210C6227"/>
    <w:rsid w:val="213E5DB3"/>
    <w:rsid w:val="21417BCA"/>
    <w:rsid w:val="21631F16"/>
    <w:rsid w:val="217627AC"/>
    <w:rsid w:val="217B77F4"/>
    <w:rsid w:val="21C61EB1"/>
    <w:rsid w:val="227D00B7"/>
    <w:rsid w:val="228D4C0E"/>
    <w:rsid w:val="239B27DE"/>
    <w:rsid w:val="248829B6"/>
    <w:rsid w:val="25CD6FEF"/>
    <w:rsid w:val="27940B5B"/>
    <w:rsid w:val="292B7326"/>
    <w:rsid w:val="29767B14"/>
    <w:rsid w:val="2A3C426D"/>
    <w:rsid w:val="2A6829F4"/>
    <w:rsid w:val="2AEA001B"/>
    <w:rsid w:val="2AF35999"/>
    <w:rsid w:val="2C1438FA"/>
    <w:rsid w:val="2C1D7C30"/>
    <w:rsid w:val="2C396203"/>
    <w:rsid w:val="2D284F8E"/>
    <w:rsid w:val="2D421E41"/>
    <w:rsid w:val="2DB458FA"/>
    <w:rsid w:val="2DC51DFA"/>
    <w:rsid w:val="2E48216D"/>
    <w:rsid w:val="2ECF4BA9"/>
    <w:rsid w:val="2EDF25BF"/>
    <w:rsid w:val="3042789E"/>
    <w:rsid w:val="30535487"/>
    <w:rsid w:val="30BA26F9"/>
    <w:rsid w:val="30DF35DF"/>
    <w:rsid w:val="310D1E46"/>
    <w:rsid w:val="311A3748"/>
    <w:rsid w:val="31587127"/>
    <w:rsid w:val="319717EC"/>
    <w:rsid w:val="32C90E51"/>
    <w:rsid w:val="32E469EF"/>
    <w:rsid w:val="33BF58E0"/>
    <w:rsid w:val="342D4F9B"/>
    <w:rsid w:val="346D1017"/>
    <w:rsid w:val="350B1250"/>
    <w:rsid w:val="354A5827"/>
    <w:rsid w:val="354D76B9"/>
    <w:rsid w:val="35C57D23"/>
    <w:rsid w:val="365D61BF"/>
    <w:rsid w:val="36FF3202"/>
    <w:rsid w:val="375B19EE"/>
    <w:rsid w:val="37C31646"/>
    <w:rsid w:val="380C0632"/>
    <w:rsid w:val="39D7210F"/>
    <w:rsid w:val="3A8C1CE9"/>
    <w:rsid w:val="3AAD0390"/>
    <w:rsid w:val="3AE03AEA"/>
    <w:rsid w:val="3BD56A3A"/>
    <w:rsid w:val="3C632255"/>
    <w:rsid w:val="3CA16A4D"/>
    <w:rsid w:val="3CA217CC"/>
    <w:rsid w:val="3D0156E5"/>
    <w:rsid w:val="3E7176A3"/>
    <w:rsid w:val="3EE607D5"/>
    <w:rsid w:val="3FB20324"/>
    <w:rsid w:val="3FFB69E1"/>
    <w:rsid w:val="401D0B21"/>
    <w:rsid w:val="40277837"/>
    <w:rsid w:val="40FE4567"/>
    <w:rsid w:val="415C03C6"/>
    <w:rsid w:val="41A82B1B"/>
    <w:rsid w:val="41B7558C"/>
    <w:rsid w:val="426A3B42"/>
    <w:rsid w:val="42D139E6"/>
    <w:rsid w:val="42FC1865"/>
    <w:rsid w:val="436F3D90"/>
    <w:rsid w:val="45817D17"/>
    <w:rsid w:val="45C9778B"/>
    <w:rsid w:val="460068CE"/>
    <w:rsid w:val="471D6B4A"/>
    <w:rsid w:val="4733410B"/>
    <w:rsid w:val="473B285C"/>
    <w:rsid w:val="48E52673"/>
    <w:rsid w:val="49155A09"/>
    <w:rsid w:val="4A097638"/>
    <w:rsid w:val="4A327C80"/>
    <w:rsid w:val="4AAE27E7"/>
    <w:rsid w:val="4BEC7DB9"/>
    <w:rsid w:val="4C2E07AD"/>
    <w:rsid w:val="4CBC059D"/>
    <w:rsid w:val="4CEB5C96"/>
    <w:rsid w:val="4D4B4FA8"/>
    <w:rsid w:val="4EA27982"/>
    <w:rsid w:val="4F0C290D"/>
    <w:rsid w:val="4F394473"/>
    <w:rsid w:val="4F47267C"/>
    <w:rsid w:val="4FB3061E"/>
    <w:rsid w:val="50965831"/>
    <w:rsid w:val="51BB31BD"/>
    <w:rsid w:val="52144933"/>
    <w:rsid w:val="53365752"/>
    <w:rsid w:val="533718FB"/>
    <w:rsid w:val="53B73656"/>
    <w:rsid w:val="540F6508"/>
    <w:rsid w:val="54D17886"/>
    <w:rsid w:val="55F96B25"/>
    <w:rsid w:val="56886536"/>
    <w:rsid w:val="5799390F"/>
    <w:rsid w:val="57FB798C"/>
    <w:rsid w:val="58F56CBE"/>
    <w:rsid w:val="5924416D"/>
    <w:rsid w:val="5956196D"/>
    <w:rsid w:val="5A0B2FBF"/>
    <w:rsid w:val="5A4A6AE9"/>
    <w:rsid w:val="5A9F4621"/>
    <w:rsid w:val="5ABE6B32"/>
    <w:rsid w:val="5AD37DE1"/>
    <w:rsid w:val="5B3D01A9"/>
    <w:rsid w:val="5BC73E8B"/>
    <w:rsid w:val="5BD11DA0"/>
    <w:rsid w:val="5BEE093E"/>
    <w:rsid w:val="5BFD7145"/>
    <w:rsid w:val="5C9C24DC"/>
    <w:rsid w:val="5D175519"/>
    <w:rsid w:val="5DA54799"/>
    <w:rsid w:val="5E462378"/>
    <w:rsid w:val="5E8B62F5"/>
    <w:rsid w:val="5F3658CA"/>
    <w:rsid w:val="5FA41ACD"/>
    <w:rsid w:val="60213F69"/>
    <w:rsid w:val="606F16BC"/>
    <w:rsid w:val="61346200"/>
    <w:rsid w:val="61857118"/>
    <w:rsid w:val="61AB02B7"/>
    <w:rsid w:val="61AC213B"/>
    <w:rsid w:val="62080A0F"/>
    <w:rsid w:val="630669BC"/>
    <w:rsid w:val="6378177A"/>
    <w:rsid w:val="63FA13F6"/>
    <w:rsid w:val="6468426D"/>
    <w:rsid w:val="647B23A4"/>
    <w:rsid w:val="64E36373"/>
    <w:rsid w:val="64E823D0"/>
    <w:rsid w:val="65681900"/>
    <w:rsid w:val="65F64939"/>
    <w:rsid w:val="66081D64"/>
    <w:rsid w:val="67A05001"/>
    <w:rsid w:val="68652E10"/>
    <w:rsid w:val="6A127BEA"/>
    <w:rsid w:val="6B7C3A80"/>
    <w:rsid w:val="6B8F28C2"/>
    <w:rsid w:val="6BD30FA2"/>
    <w:rsid w:val="6C0234E3"/>
    <w:rsid w:val="6CF6161C"/>
    <w:rsid w:val="6E94695D"/>
    <w:rsid w:val="6F9A686E"/>
    <w:rsid w:val="6FE423DF"/>
    <w:rsid w:val="70D55950"/>
    <w:rsid w:val="71200594"/>
    <w:rsid w:val="71C252F2"/>
    <w:rsid w:val="729C67B0"/>
    <w:rsid w:val="72A34AD9"/>
    <w:rsid w:val="732660F1"/>
    <w:rsid w:val="73284639"/>
    <w:rsid w:val="73F97708"/>
    <w:rsid w:val="740B70E2"/>
    <w:rsid w:val="741C5FAB"/>
    <w:rsid w:val="74402EA1"/>
    <w:rsid w:val="747B3144"/>
    <w:rsid w:val="74C5565D"/>
    <w:rsid w:val="75BA5471"/>
    <w:rsid w:val="75D1335A"/>
    <w:rsid w:val="75F35A95"/>
    <w:rsid w:val="767D3E73"/>
    <w:rsid w:val="77B5423B"/>
    <w:rsid w:val="783B1B43"/>
    <w:rsid w:val="798F7CA5"/>
    <w:rsid w:val="799D3D92"/>
    <w:rsid w:val="7A5303B9"/>
    <w:rsid w:val="7AB21EC3"/>
    <w:rsid w:val="7AC52F69"/>
    <w:rsid w:val="7B4E293C"/>
    <w:rsid w:val="7C053A70"/>
    <w:rsid w:val="7D2F3E78"/>
    <w:rsid w:val="7D781318"/>
    <w:rsid w:val="7D7E08B1"/>
    <w:rsid w:val="7D940B7C"/>
    <w:rsid w:val="7DE73641"/>
    <w:rsid w:val="7EE65B0B"/>
    <w:rsid w:val="7EEF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101"/>
    <w:qFormat/>
    <w:uiPriority w:val="0"/>
    <w:rPr>
      <w:rFonts w:hint="eastAsia" w:ascii="宋体" w:hAnsi="宋体" w:eastAsia="宋体" w:cs="宋体"/>
      <w:color w:val="000000"/>
      <w:sz w:val="18"/>
      <w:szCs w:val="18"/>
      <w:u w:val="none"/>
    </w:rPr>
  </w:style>
  <w:style w:type="paragraph" w:customStyle="1" w:styleId="10">
    <w:name w:val="null3"/>
    <w:qFormat/>
    <w:uiPriority w:val="0"/>
    <w:rPr>
      <w:rFonts w:hint="eastAsia" w:ascii="Calibri" w:hAnsi="Calibri" w:eastAsia="宋体" w:cs="Times New Roman"/>
      <w:lang w:val="en-US" w:eastAsia="zh-Hans" w:bidi="ar-SA"/>
    </w:rPr>
  </w:style>
  <w:style w:type="paragraph" w:customStyle="1" w:styleId="11">
    <w:name w:val="Table Paragraph"/>
    <w:basedOn w:val="1"/>
    <w:qFormat/>
    <w:uiPriority w:val="1"/>
    <w:rPr>
      <w:sz w:val="24"/>
      <w:szCs w:val="22"/>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5252</Words>
  <Characters>5963</Characters>
  <Lines>0</Lines>
  <Paragraphs>0</Paragraphs>
  <TotalTime>4</TotalTime>
  <ScaleCrop>false</ScaleCrop>
  <LinksUpToDate>false</LinksUpToDate>
  <CharactersWithSpaces>6123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2024-08-28T07:37:00Z</dcterms:created>
  <dc:creator>HP</dc:creator>
  <cp:lastModifiedBy>Administrator</cp:lastModifiedBy>
  <cp:lastPrinted>2024-10-30T07:18:00Z</cp:lastPrinted>
  <dcterms:modified xsi:type="dcterms:W3CDTF">2024-11-07T06:58:22Z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DA22FD7A88D74B07B8E4F3AD06E8E1BD_12</vt:lpwstr>
  </property>
</Properties>
</file>